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FBA11" w14:textId="11986189" w:rsidR="00CB1659" w:rsidRPr="000C06CA" w:rsidRDefault="00CB1659" w:rsidP="00050C25">
      <w:pPr>
        <w:tabs>
          <w:tab w:val="left" w:pos="7230"/>
        </w:tabs>
        <w:jc w:val="right"/>
        <w:rPr>
          <w:b/>
          <w:sz w:val="96"/>
          <w:szCs w:val="96"/>
        </w:rPr>
      </w:pPr>
      <w:r w:rsidRPr="000C06CA">
        <w:rPr>
          <w:b/>
          <w:sz w:val="96"/>
          <w:szCs w:val="96"/>
        </w:rPr>
        <w:t>P</w:t>
      </w:r>
      <w:r w:rsidR="0019308B">
        <w:rPr>
          <w:b/>
          <w:sz w:val="96"/>
          <w:szCs w:val="96"/>
        </w:rPr>
        <w:t>..</w:t>
      </w:r>
    </w:p>
    <w:p w14:paraId="34B1EC67" w14:textId="16D83827" w:rsidR="00F8406A" w:rsidRPr="000C06CA" w:rsidRDefault="00050C25" w:rsidP="00050C25">
      <w:pPr>
        <w:tabs>
          <w:tab w:val="left" w:pos="7230"/>
        </w:tabs>
        <w:jc w:val="right"/>
        <w:rPr>
          <w:b/>
          <w:sz w:val="22"/>
        </w:rPr>
      </w:pPr>
      <w:r w:rsidRPr="000C06CA">
        <w:rPr>
          <w:b/>
          <w:sz w:val="22"/>
        </w:rPr>
        <w:t>EELNÕU</w:t>
      </w:r>
    </w:p>
    <w:p w14:paraId="28C6F72C" w14:textId="7C439D68" w:rsidR="00070783" w:rsidRPr="000C06CA" w:rsidRDefault="001532DF" w:rsidP="00050C25">
      <w:pPr>
        <w:tabs>
          <w:tab w:val="left" w:pos="7230"/>
        </w:tabs>
        <w:jc w:val="right"/>
        <w:rPr>
          <w:b/>
          <w:sz w:val="22"/>
        </w:rPr>
      </w:pPr>
      <w:r w:rsidRPr="000C06CA">
        <w:rPr>
          <w:rFonts w:ascii="Verdana" w:hAnsi="Verdana"/>
          <w:color w:val="FF0000"/>
          <w:sz w:val="20"/>
          <w:szCs w:val="20"/>
          <w:shd w:val="clear" w:color="auto" w:fill="FFFFFF"/>
        </w:rPr>
        <w:t>1</w:t>
      </w:r>
      <w:r w:rsidR="00137139" w:rsidRPr="00137139">
        <w:rPr>
          <w:rFonts w:ascii="Verdana" w:hAnsi="Verdana"/>
          <w:color w:val="FF0000"/>
          <w:sz w:val="20"/>
          <w:szCs w:val="20"/>
          <w:shd w:val="clear" w:color="auto" w:fill="FFFFFF"/>
        </w:rPr>
        <w:t>1-2.1/</w:t>
      </w:r>
      <w:r w:rsidR="0019308B">
        <w:rPr>
          <w:rFonts w:ascii="Verdana" w:hAnsi="Verdana"/>
          <w:color w:val="FF0000"/>
          <w:sz w:val="20"/>
          <w:szCs w:val="20"/>
          <w:shd w:val="clear" w:color="auto" w:fill="FFFFFF"/>
        </w:rPr>
        <w:t>…</w:t>
      </w:r>
      <w:r w:rsidR="00137139" w:rsidRPr="00137139">
        <w:rPr>
          <w:rFonts w:ascii="Verdana" w:hAnsi="Verdana"/>
          <w:color w:val="FF0000"/>
          <w:sz w:val="20"/>
          <w:szCs w:val="20"/>
          <w:shd w:val="clear" w:color="auto" w:fill="FFFFFF"/>
        </w:rPr>
        <w:t>-EN</w:t>
      </w:r>
      <w:r w:rsidR="00050C25" w:rsidRPr="000C06CA">
        <w:rPr>
          <w:b/>
          <w:sz w:val="22"/>
        </w:rPr>
        <w:br/>
      </w:r>
    </w:p>
    <w:p w14:paraId="74051EF5" w14:textId="77777777" w:rsidR="00070783" w:rsidRPr="000C06CA" w:rsidRDefault="00070783" w:rsidP="00070783">
      <w:pPr>
        <w:tabs>
          <w:tab w:val="left" w:pos="7230"/>
        </w:tabs>
        <w:jc w:val="center"/>
        <w:rPr>
          <w:b/>
          <w:sz w:val="28"/>
          <w:szCs w:val="28"/>
        </w:rPr>
      </w:pPr>
      <w:r w:rsidRPr="000C06CA">
        <w:rPr>
          <w:b/>
          <w:sz w:val="28"/>
          <w:szCs w:val="28"/>
        </w:rPr>
        <w:t>O T S U S</w:t>
      </w:r>
    </w:p>
    <w:p w14:paraId="0381A441" w14:textId="77777777" w:rsidR="00070783" w:rsidRPr="000C06CA" w:rsidRDefault="00070783" w:rsidP="008A5B5D">
      <w:pPr>
        <w:tabs>
          <w:tab w:val="left" w:pos="7230"/>
        </w:tabs>
        <w:rPr>
          <w:b/>
          <w:sz w:val="22"/>
        </w:rPr>
      </w:pPr>
    </w:p>
    <w:p w14:paraId="706014FB" w14:textId="77777777" w:rsidR="0019308B" w:rsidRDefault="0019308B" w:rsidP="008A5B5D">
      <w:pPr>
        <w:tabs>
          <w:tab w:val="left" w:pos="7230"/>
        </w:tabs>
        <w:rPr>
          <w:b/>
          <w:sz w:val="22"/>
        </w:rPr>
      </w:pPr>
    </w:p>
    <w:p w14:paraId="1911DE15" w14:textId="13C45E60" w:rsidR="008A5B5D" w:rsidRPr="000C06CA" w:rsidRDefault="008C3FEE" w:rsidP="0019308B">
      <w:pPr>
        <w:tabs>
          <w:tab w:val="left" w:pos="7230"/>
        </w:tabs>
        <w:ind w:firstLine="142"/>
        <w:rPr>
          <w:b/>
        </w:rPr>
      </w:pPr>
      <w:r w:rsidRPr="000C06CA">
        <w:rPr>
          <w:b/>
          <w:sz w:val="22"/>
        </w:rPr>
        <w:t>Märjama</w:t>
      </w:r>
      <w:r w:rsidR="00231FB3" w:rsidRPr="000C06CA">
        <w:rPr>
          <w:b/>
          <w:sz w:val="22"/>
        </w:rPr>
        <w:t>a</w:t>
      </w:r>
      <w:r w:rsidR="00E05DE6" w:rsidRPr="000C06CA">
        <w:rPr>
          <w:b/>
          <w:sz w:val="22"/>
        </w:rPr>
        <w:tab/>
      </w:r>
      <w:r w:rsidR="004F52C4" w:rsidRPr="000C06CA">
        <w:rPr>
          <w:b/>
          <w:sz w:val="22"/>
        </w:rPr>
        <w:t xml:space="preserve">… </w:t>
      </w:r>
      <w:r w:rsidR="00E05DE6" w:rsidRPr="000C06CA">
        <w:rPr>
          <w:b/>
          <w:sz w:val="22"/>
        </w:rPr>
        <w:t xml:space="preserve">. </w:t>
      </w:r>
      <w:r w:rsidR="0019308B">
        <w:rPr>
          <w:b/>
          <w:sz w:val="22"/>
        </w:rPr>
        <w:t>oktoober</w:t>
      </w:r>
      <w:r w:rsidR="008A5B5D" w:rsidRPr="000C06CA">
        <w:rPr>
          <w:b/>
        </w:rPr>
        <w:t xml:space="preserve"> </w:t>
      </w:r>
      <w:r w:rsidR="00D17953" w:rsidRPr="000C06CA">
        <w:rPr>
          <w:b/>
        </w:rPr>
        <w:t>202</w:t>
      </w:r>
      <w:r w:rsidR="00224557" w:rsidRPr="000C06CA">
        <w:rPr>
          <w:b/>
        </w:rPr>
        <w:t>5</w:t>
      </w:r>
      <w:r w:rsidR="008A5B5D" w:rsidRPr="000C06CA">
        <w:rPr>
          <w:b/>
        </w:rPr>
        <w:t xml:space="preserve"> nr </w:t>
      </w:r>
    </w:p>
    <w:p w14:paraId="5D819296" w14:textId="77777777" w:rsidR="008A5B5D" w:rsidRPr="000C06CA" w:rsidRDefault="008A5B5D" w:rsidP="008A5B5D">
      <w:pPr>
        <w:rPr>
          <w:b/>
        </w:rPr>
      </w:pPr>
    </w:p>
    <w:p w14:paraId="4D076411" w14:textId="08A951E6" w:rsidR="00E05DE6" w:rsidRDefault="0019308B" w:rsidP="0019308B">
      <w:pPr>
        <w:ind w:firstLine="124"/>
        <w:rPr>
          <w:b/>
        </w:rPr>
      </w:pPr>
      <w:r>
        <w:rPr>
          <w:b/>
        </w:rPr>
        <w:t>Orgita ettevõtluskompleksi detailplaneeringu osaline kehtetuks tunnistamine</w:t>
      </w:r>
    </w:p>
    <w:p w14:paraId="3DEA24D5" w14:textId="77777777" w:rsidR="0019308B" w:rsidRPr="00214B12" w:rsidRDefault="0019308B" w:rsidP="00E05DE6">
      <w:pPr>
        <w:rPr>
          <w:highlight w:val="yellow"/>
        </w:rPr>
      </w:pPr>
    </w:p>
    <w:p w14:paraId="5C5223F7" w14:textId="77777777" w:rsidR="0019308B" w:rsidRDefault="0019308B" w:rsidP="0019308B">
      <w:pPr>
        <w:spacing w:before="276"/>
        <w:ind w:left="124"/>
        <w:rPr>
          <w:szCs w:val="24"/>
          <w:highlight w:val="yellow"/>
        </w:rPr>
      </w:pPr>
      <w:r>
        <w:rPr>
          <w:szCs w:val="24"/>
        </w:rPr>
        <w:t>Märjamaa</w:t>
      </w:r>
      <w:r w:rsidRPr="00DE7F14">
        <w:rPr>
          <w:szCs w:val="24"/>
        </w:rPr>
        <w:t xml:space="preserve"> valla </w:t>
      </w:r>
      <w:r>
        <w:rPr>
          <w:szCs w:val="24"/>
        </w:rPr>
        <w:t>Orgita ettevõtluskompleksi</w:t>
      </w:r>
      <w:r w:rsidRPr="00DE7F14">
        <w:rPr>
          <w:szCs w:val="24"/>
        </w:rPr>
        <w:t xml:space="preserve"> detailplaneering (edaspidi: detailplaneering) kehtestati </w:t>
      </w:r>
      <w:r>
        <w:rPr>
          <w:szCs w:val="24"/>
        </w:rPr>
        <w:t>15</w:t>
      </w:r>
      <w:r w:rsidRPr="00DE7F14">
        <w:rPr>
          <w:szCs w:val="24"/>
        </w:rPr>
        <w:t>.0</w:t>
      </w:r>
      <w:r>
        <w:rPr>
          <w:szCs w:val="24"/>
        </w:rPr>
        <w:t>4</w:t>
      </w:r>
      <w:r w:rsidRPr="00DE7F14">
        <w:rPr>
          <w:szCs w:val="24"/>
        </w:rPr>
        <w:t>.</w:t>
      </w:r>
      <w:r>
        <w:rPr>
          <w:szCs w:val="24"/>
        </w:rPr>
        <w:t>2015</w:t>
      </w:r>
      <w:r w:rsidRPr="00DE7F14">
        <w:rPr>
          <w:szCs w:val="24"/>
        </w:rPr>
        <w:t xml:space="preserve"> </w:t>
      </w:r>
      <w:r>
        <w:rPr>
          <w:szCs w:val="24"/>
        </w:rPr>
        <w:t>Märjamaa</w:t>
      </w:r>
      <w:r w:rsidRPr="00DE7F14">
        <w:rPr>
          <w:szCs w:val="24"/>
        </w:rPr>
        <w:t xml:space="preserve"> Vallavolikogu otsusega </w:t>
      </w:r>
      <w:r>
        <w:rPr>
          <w:szCs w:val="24"/>
        </w:rPr>
        <w:t>nr 52</w:t>
      </w:r>
      <w:r w:rsidRPr="00DE7F14">
        <w:rPr>
          <w:szCs w:val="24"/>
        </w:rPr>
        <w:t xml:space="preserve">.  Planeeringuga moodustati </w:t>
      </w:r>
      <w:r>
        <w:rPr>
          <w:szCs w:val="24"/>
        </w:rPr>
        <w:t>ca 15</w:t>
      </w:r>
      <w:r w:rsidRPr="00DE7F14">
        <w:rPr>
          <w:szCs w:val="24"/>
        </w:rPr>
        <w:t xml:space="preserve"> ha suurusele alale </w:t>
      </w:r>
      <w:r w:rsidRPr="00553B82">
        <w:rPr>
          <w:szCs w:val="24"/>
        </w:rPr>
        <w:t xml:space="preserve">22 krunti </w:t>
      </w:r>
      <w:r w:rsidRPr="00D4052F">
        <w:rPr>
          <w:szCs w:val="24"/>
        </w:rPr>
        <w:t xml:space="preserve">suurusega vahemikus 548 kuni 20 757 ruutmeetrit ning määrati ehituslikud tingimused ja planeeringuala kasutamiseks vajaliku taristu asukohad. </w:t>
      </w:r>
    </w:p>
    <w:p w14:paraId="563AA38E" w14:textId="77777777" w:rsidR="0019308B" w:rsidRPr="000333C1" w:rsidRDefault="0019308B" w:rsidP="0019308B">
      <w:pPr>
        <w:spacing w:before="276"/>
        <w:ind w:left="124"/>
        <w:rPr>
          <w:szCs w:val="24"/>
        </w:rPr>
      </w:pPr>
      <w:r w:rsidRPr="00BC35F1">
        <w:rPr>
          <w:szCs w:val="24"/>
        </w:rPr>
        <w:t xml:space="preserve">Orgita ettevõtluskompleksi detailplaneeringu eesmärk </w:t>
      </w:r>
      <w:r>
        <w:rPr>
          <w:szCs w:val="24"/>
        </w:rPr>
        <w:t>on olnud</w:t>
      </w:r>
      <w:r w:rsidRPr="00BC35F1">
        <w:rPr>
          <w:szCs w:val="24"/>
        </w:rPr>
        <w:t xml:space="preserve"> moodustatavatele kruntidele ehitusõiguse seadmine, parkimise ja liikluse korraldamine, tehnovõrkude ja –rajatiste asukohad, keskkonnakaitselised abinõud ja haljastuse ning heakorrapõhimõtted. Vassi, Trahteri ja Lubjaaugu maaüksustele on planeeritud tanklate, söögikohtade, kontorite ning logistikaga seotud äripinnad. Telliskivi maaüksusele on planeeritud parkla veoautodele ning puhke otstarbeline parkmetsaala.</w:t>
      </w:r>
      <w:r>
        <w:rPr>
          <w:szCs w:val="24"/>
        </w:rPr>
        <w:t xml:space="preserve"> </w:t>
      </w:r>
      <w:r w:rsidRPr="000333C1">
        <w:rPr>
          <w:szCs w:val="24"/>
        </w:rPr>
        <w:t xml:space="preserve">Detailplaneeringut on kinnistutel juba etapiviisiliselt ellu viidud, tehtud on maakorralduslikud </w:t>
      </w:r>
      <w:r>
        <w:rPr>
          <w:szCs w:val="24"/>
        </w:rPr>
        <w:t xml:space="preserve"> </w:t>
      </w:r>
      <w:r w:rsidRPr="000333C1">
        <w:rPr>
          <w:szCs w:val="24"/>
        </w:rPr>
        <w:t>toimingud, kruntimised ja kinnistute moodustamised.</w:t>
      </w:r>
      <w:r>
        <w:rPr>
          <w:szCs w:val="24"/>
        </w:rPr>
        <w:t xml:space="preserve"> </w:t>
      </w:r>
    </w:p>
    <w:p w14:paraId="22A15CD9" w14:textId="77777777" w:rsidR="0019308B" w:rsidRDefault="0019308B" w:rsidP="0019308B">
      <w:pPr>
        <w:spacing w:before="276"/>
        <w:ind w:left="124"/>
        <w:rPr>
          <w:szCs w:val="24"/>
        </w:rPr>
      </w:pPr>
      <w:r w:rsidRPr="00A64B31">
        <w:rPr>
          <w:szCs w:val="24"/>
        </w:rPr>
        <w:t xml:space="preserve">Detailplaneeringuala hõlmab järgmisi katastriüksusi: </w:t>
      </w:r>
      <w:r>
        <w:rPr>
          <w:szCs w:val="24"/>
        </w:rPr>
        <w:t>Kannikese (</w:t>
      </w:r>
      <w:r w:rsidRPr="00E5308D">
        <w:rPr>
          <w:szCs w:val="24"/>
        </w:rPr>
        <w:t>50402:001:0313</w:t>
      </w:r>
      <w:r>
        <w:rPr>
          <w:szCs w:val="24"/>
        </w:rPr>
        <w:t>), Ristiku (</w:t>
      </w:r>
      <w:r w:rsidRPr="00E5308D">
        <w:rPr>
          <w:szCs w:val="24"/>
        </w:rPr>
        <w:t>50402:001:0310</w:t>
      </w:r>
      <w:r>
        <w:rPr>
          <w:szCs w:val="24"/>
        </w:rPr>
        <w:t xml:space="preserve">), </w:t>
      </w:r>
      <w:r w:rsidRPr="00940606">
        <w:rPr>
          <w:szCs w:val="24"/>
        </w:rPr>
        <w:t>Rukkilille</w:t>
      </w:r>
      <w:r>
        <w:rPr>
          <w:szCs w:val="24"/>
        </w:rPr>
        <w:t xml:space="preserve"> (</w:t>
      </w:r>
      <w:r w:rsidRPr="00940606">
        <w:rPr>
          <w:szCs w:val="24"/>
        </w:rPr>
        <w:t>50402:001:0314</w:t>
      </w:r>
      <w:r>
        <w:rPr>
          <w:szCs w:val="24"/>
        </w:rPr>
        <w:t xml:space="preserve">), </w:t>
      </w:r>
      <w:r w:rsidRPr="00940606">
        <w:rPr>
          <w:szCs w:val="24"/>
        </w:rPr>
        <w:t>Karikakra</w:t>
      </w:r>
      <w:r>
        <w:rPr>
          <w:szCs w:val="24"/>
        </w:rPr>
        <w:t xml:space="preserve"> (</w:t>
      </w:r>
      <w:r w:rsidRPr="006F1E8C">
        <w:rPr>
          <w:szCs w:val="24"/>
        </w:rPr>
        <w:t>50402:001:0309</w:t>
      </w:r>
      <w:r>
        <w:rPr>
          <w:szCs w:val="24"/>
        </w:rPr>
        <w:t xml:space="preserve">), </w:t>
      </w:r>
      <w:proofErr w:type="spellStart"/>
      <w:r w:rsidRPr="006F1E8C">
        <w:rPr>
          <w:szCs w:val="24"/>
        </w:rPr>
        <w:t>Tehnopargi</w:t>
      </w:r>
      <w:proofErr w:type="spellEnd"/>
      <w:r w:rsidRPr="006F1E8C">
        <w:rPr>
          <w:szCs w:val="24"/>
        </w:rPr>
        <w:t xml:space="preserve"> tee 5</w:t>
      </w:r>
      <w:r>
        <w:rPr>
          <w:szCs w:val="24"/>
        </w:rPr>
        <w:t xml:space="preserve"> (</w:t>
      </w:r>
      <w:r w:rsidRPr="006F1E8C">
        <w:rPr>
          <w:szCs w:val="24"/>
        </w:rPr>
        <w:t>50402:001:0308</w:t>
      </w:r>
      <w:r>
        <w:rPr>
          <w:szCs w:val="24"/>
        </w:rPr>
        <w:t xml:space="preserve">), </w:t>
      </w:r>
      <w:proofErr w:type="spellStart"/>
      <w:r>
        <w:rPr>
          <w:szCs w:val="24"/>
        </w:rPr>
        <w:t>Tehnopargi</w:t>
      </w:r>
      <w:proofErr w:type="spellEnd"/>
      <w:r>
        <w:rPr>
          <w:szCs w:val="24"/>
        </w:rPr>
        <w:t xml:space="preserve"> tee 7 (</w:t>
      </w:r>
      <w:r w:rsidRPr="00E35647">
        <w:rPr>
          <w:szCs w:val="24"/>
        </w:rPr>
        <w:t>50402:001:0307</w:t>
      </w:r>
      <w:r>
        <w:rPr>
          <w:szCs w:val="24"/>
        </w:rPr>
        <w:t xml:space="preserve">), </w:t>
      </w:r>
      <w:proofErr w:type="spellStart"/>
      <w:r w:rsidRPr="00E35647">
        <w:rPr>
          <w:szCs w:val="24"/>
        </w:rPr>
        <w:t>Tehnopargi</w:t>
      </w:r>
      <w:proofErr w:type="spellEnd"/>
      <w:r w:rsidRPr="00E35647">
        <w:rPr>
          <w:szCs w:val="24"/>
        </w:rPr>
        <w:t xml:space="preserve"> tee 9</w:t>
      </w:r>
      <w:r>
        <w:rPr>
          <w:szCs w:val="24"/>
        </w:rPr>
        <w:t xml:space="preserve"> (</w:t>
      </w:r>
      <w:r w:rsidRPr="00E35647">
        <w:rPr>
          <w:szCs w:val="24"/>
        </w:rPr>
        <w:t>50402:001:0315</w:t>
      </w:r>
      <w:r>
        <w:rPr>
          <w:szCs w:val="24"/>
        </w:rPr>
        <w:t xml:space="preserve">), </w:t>
      </w:r>
      <w:proofErr w:type="spellStart"/>
      <w:r w:rsidRPr="00ED147F">
        <w:rPr>
          <w:szCs w:val="24"/>
        </w:rPr>
        <w:t>Tehnopargi</w:t>
      </w:r>
      <w:proofErr w:type="spellEnd"/>
      <w:r w:rsidRPr="00ED147F">
        <w:rPr>
          <w:szCs w:val="24"/>
        </w:rPr>
        <w:t xml:space="preserve"> tee</w:t>
      </w:r>
      <w:r>
        <w:rPr>
          <w:szCs w:val="24"/>
        </w:rPr>
        <w:t xml:space="preserve"> (</w:t>
      </w:r>
      <w:r w:rsidRPr="00ED147F">
        <w:rPr>
          <w:szCs w:val="24"/>
        </w:rPr>
        <w:t>50201:001:0667</w:t>
      </w:r>
      <w:r>
        <w:rPr>
          <w:szCs w:val="24"/>
        </w:rPr>
        <w:t xml:space="preserve">), </w:t>
      </w:r>
      <w:r w:rsidRPr="00ED147F">
        <w:rPr>
          <w:szCs w:val="24"/>
        </w:rPr>
        <w:t>4 Tallinn-Pärnu-Ikla tee</w:t>
      </w:r>
      <w:r>
        <w:rPr>
          <w:szCs w:val="24"/>
        </w:rPr>
        <w:t xml:space="preserve"> (</w:t>
      </w:r>
      <w:r w:rsidRPr="001D3BDD">
        <w:rPr>
          <w:szCs w:val="24"/>
        </w:rPr>
        <w:t>50201:001:0666</w:t>
      </w:r>
      <w:r>
        <w:rPr>
          <w:szCs w:val="24"/>
        </w:rPr>
        <w:t xml:space="preserve">), </w:t>
      </w:r>
      <w:proofErr w:type="spellStart"/>
      <w:r>
        <w:rPr>
          <w:szCs w:val="24"/>
        </w:rPr>
        <w:t>Tehnopargi</w:t>
      </w:r>
      <w:proofErr w:type="spellEnd"/>
      <w:r>
        <w:rPr>
          <w:szCs w:val="24"/>
        </w:rPr>
        <w:t xml:space="preserve"> tee 12 (</w:t>
      </w:r>
      <w:r w:rsidRPr="001D3BDD">
        <w:rPr>
          <w:szCs w:val="24"/>
        </w:rPr>
        <w:t>50402:001:0306</w:t>
      </w:r>
      <w:r>
        <w:rPr>
          <w:szCs w:val="24"/>
        </w:rPr>
        <w:t xml:space="preserve">), </w:t>
      </w:r>
      <w:proofErr w:type="spellStart"/>
      <w:r>
        <w:rPr>
          <w:szCs w:val="24"/>
        </w:rPr>
        <w:t>Tehnopargi</w:t>
      </w:r>
      <w:proofErr w:type="spellEnd"/>
      <w:r>
        <w:rPr>
          <w:szCs w:val="24"/>
        </w:rPr>
        <w:t xml:space="preserve"> tee 10 (</w:t>
      </w:r>
      <w:r w:rsidRPr="00F27072">
        <w:rPr>
          <w:szCs w:val="24"/>
        </w:rPr>
        <w:t>50402:001:0304</w:t>
      </w:r>
      <w:r>
        <w:rPr>
          <w:szCs w:val="24"/>
        </w:rPr>
        <w:t xml:space="preserve">), </w:t>
      </w:r>
      <w:proofErr w:type="spellStart"/>
      <w:r>
        <w:rPr>
          <w:szCs w:val="24"/>
        </w:rPr>
        <w:t>Tehnopargi</w:t>
      </w:r>
      <w:proofErr w:type="spellEnd"/>
      <w:r>
        <w:rPr>
          <w:szCs w:val="24"/>
        </w:rPr>
        <w:t xml:space="preserve"> tee 8 (</w:t>
      </w:r>
      <w:r w:rsidRPr="00F27072">
        <w:rPr>
          <w:szCs w:val="24"/>
        </w:rPr>
        <w:t>50402:001:0303</w:t>
      </w:r>
      <w:r>
        <w:rPr>
          <w:szCs w:val="24"/>
        </w:rPr>
        <w:t xml:space="preserve">), </w:t>
      </w:r>
      <w:proofErr w:type="spellStart"/>
      <w:r>
        <w:rPr>
          <w:szCs w:val="24"/>
        </w:rPr>
        <w:t>Tehnopargi</w:t>
      </w:r>
      <w:proofErr w:type="spellEnd"/>
      <w:r>
        <w:rPr>
          <w:szCs w:val="24"/>
        </w:rPr>
        <w:t xml:space="preserve"> tee 14 (</w:t>
      </w:r>
      <w:r w:rsidRPr="00C417AB">
        <w:rPr>
          <w:szCs w:val="24"/>
        </w:rPr>
        <w:t>50402:001:0305</w:t>
      </w:r>
      <w:r>
        <w:rPr>
          <w:szCs w:val="24"/>
        </w:rPr>
        <w:t xml:space="preserve">), </w:t>
      </w:r>
      <w:proofErr w:type="spellStart"/>
      <w:r>
        <w:rPr>
          <w:szCs w:val="24"/>
        </w:rPr>
        <w:t>Tehnopargi</w:t>
      </w:r>
      <w:proofErr w:type="spellEnd"/>
      <w:r>
        <w:rPr>
          <w:szCs w:val="24"/>
        </w:rPr>
        <w:t xml:space="preserve"> tee 16 (</w:t>
      </w:r>
      <w:r w:rsidRPr="00C417AB">
        <w:rPr>
          <w:szCs w:val="24"/>
        </w:rPr>
        <w:t>50201:001:0669</w:t>
      </w:r>
      <w:r>
        <w:rPr>
          <w:szCs w:val="24"/>
        </w:rPr>
        <w:t xml:space="preserve">), </w:t>
      </w:r>
      <w:proofErr w:type="spellStart"/>
      <w:r>
        <w:rPr>
          <w:szCs w:val="24"/>
        </w:rPr>
        <w:t>Tehnopargi</w:t>
      </w:r>
      <w:proofErr w:type="spellEnd"/>
      <w:r>
        <w:rPr>
          <w:szCs w:val="24"/>
        </w:rPr>
        <w:t xml:space="preserve"> tee 6 (</w:t>
      </w:r>
      <w:r w:rsidRPr="0058574F">
        <w:rPr>
          <w:szCs w:val="24"/>
        </w:rPr>
        <w:t>50402:001:0316</w:t>
      </w:r>
      <w:r>
        <w:rPr>
          <w:szCs w:val="24"/>
        </w:rPr>
        <w:t xml:space="preserve">), </w:t>
      </w:r>
      <w:proofErr w:type="spellStart"/>
      <w:r>
        <w:rPr>
          <w:szCs w:val="24"/>
        </w:rPr>
        <w:t>Tehnopargi</w:t>
      </w:r>
      <w:proofErr w:type="spellEnd"/>
      <w:r>
        <w:rPr>
          <w:szCs w:val="24"/>
        </w:rPr>
        <w:t xml:space="preserve"> tee 4 (</w:t>
      </w:r>
      <w:r w:rsidRPr="00836102">
        <w:rPr>
          <w:szCs w:val="24"/>
        </w:rPr>
        <w:t>50402:001:0299</w:t>
      </w:r>
      <w:r>
        <w:rPr>
          <w:szCs w:val="24"/>
        </w:rPr>
        <w:t xml:space="preserve">), </w:t>
      </w:r>
      <w:proofErr w:type="spellStart"/>
      <w:r>
        <w:rPr>
          <w:szCs w:val="24"/>
        </w:rPr>
        <w:t>Tehnopargi</w:t>
      </w:r>
      <w:proofErr w:type="spellEnd"/>
      <w:r>
        <w:rPr>
          <w:szCs w:val="24"/>
        </w:rPr>
        <w:t xml:space="preserve"> tee L2 (</w:t>
      </w:r>
      <w:r w:rsidRPr="00836102">
        <w:rPr>
          <w:szCs w:val="24"/>
        </w:rPr>
        <w:t>50201:001:0668</w:t>
      </w:r>
      <w:r>
        <w:rPr>
          <w:szCs w:val="24"/>
        </w:rPr>
        <w:t xml:space="preserve">), </w:t>
      </w:r>
      <w:r w:rsidRPr="009D48C6">
        <w:rPr>
          <w:szCs w:val="24"/>
        </w:rPr>
        <w:t>4 Tallinn-Pärnu-Ikla tee</w:t>
      </w:r>
      <w:r>
        <w:rPr>
          <w:szCs w:val="24"/>
        </w:rPr>
        <w:t xml:space="preserve"> (</w:t>
      </w:r>
      <w:r w:rsidRPr="00EA20A1">
        <w:rPr>
          <w:szCs w:val="24"/>
        </w:rPr>
        <w:t>50201:001:0588</w:t>
      </w:r>
      <w:r>
        <w:rPr>
          <w:szCs w:val="24"/>
        </w:rPr>
        <w:t xml:space="preserve">), </w:t>
      </w:r>
      <w:proofErr w:type="spellStart"/>
      <w:r>
        <w:rPr>
          <w:szCs w:val="24"/>
        </w:rPr>
        <w:t>Tehnopargi</w:t>
      </w:r>
      <w:proofErr w:type="spellEnd"/>
      <w:r>
        <w:rPr>
          <w:szCs w:val="24"/>
        </w:rPr>
        <w:t xml:space="preserve"> tee 11 (</w:t>
      </w:r>
      <w:r w:rsidRPr="00EA20A1">
        <w:rPr>
          <w:szCs w:val="24"/>
        </w:rPr>
        <w:t>50201:001:0589</w:t>
      </w:r>
      <w:r>
        <w:rPr>
          <w:szCs w:val="24"/>
        </w:rPr>
        <w:t xml:space="preserve">), </w:t>
      </w:r>
      <w:r w:rsidRPr="0019373F">
        <w:rPr>
          <w:szCs w:val="24"/>
        </w:rPr>
        <w:t>4 Tallinn-Pärnu-Ikla tee</w:t>
      </w:r>
      <w:r>
        <w:rPr>
          <w:szCs w:val="24"/>
        </w:rPr>
        <w:t xml:space="preserve"> (</w:t>
      </w:r>
      <w:r w:rsidRPr="0019373F">
        <w:rPr>
          <w:szCs w:val="24"/>
        </w:rPr>
        <w:t>50201:001:0664</w:t>
      </w:r>
      <w:r>
        <w:rPr>
          <w:szCs w:val="24"/>
        </w:rPr>
        <w:t xml:space="preserve">), </w:t>
      </w:r>
      <w:proofErr w:type="spellStart"/>
      <w:r w:rsidRPr="0019373F">
        <w:rPr>
          <w:szCs w:val="24"/>
        </w:rPr>
        <w:t>Tehnopargi</w:t>
      </w:r>
      <w:proofErr w:type="spellEnd"/>
      <w:r w:rsidRPr="0019373F">
        <w:rPr>
          <w:szCs w:val="24"/>
        </w:rPr>
        <w:t xml:space="preserve"> tee 2</w:t>
      </w:r>
      <w:r>
        <w:rPr>
          <w:szCs w:val="24"/>
        </w:rPr>
        <w:t xml:space="preserve"> (</w:t>
      </w:r>
      <w:r w:rsidRPr="0019373F">
        <w:rPr>
          <w:szCs w:val="24"/>
        </w:rPr>
        <w:t>50201:001:0663</w:t>
      </w:r>
      <w:r>
        <w:rPr>
          <w:szCs w:val="24"/>
        </w:rPr>
        <w:t xml:space="preserve">), </w:t>
      </w:r>
      <w:r w:rsidRPr="00A8261E">
        <w:rPr>
          <w:szCs w:val="24"/>
        </w:rPr>
        <w:t>4 Tallinn-Pärnu-Ikla tee</w:t>
      </w:r>
      <w:r>
        <w:rPr>
          <w:szCs w:val="24"/>
        </w:rPr>
        <w:t xml:space="preserve"> </w:t>
      </w:r>
      <w:r w:rsidRPr="00675F7C">
        <w:rPr>
          <w:szCs w:val="24"/>
        </w:rPr>
        <w:t xml:space="preserve">(50201:001:0665), </w:t>
      </w:r>
      <w:proofErr w:type="spellStart"/>
      <w:r w:rsidRPr="00675F7C">
        <w:rPr>
          <w:szCs w:val="24"/>
        </w:rPr>
        <w:t>Tehnopargi</w:t>
      </w:r>
      <w:proofErr w:type="spellEnd"/>
      <w:r w:rsidRPr="00675F7C">
        <w:rPr>
          <w:szCs w:val="24"/>
        </w:rPr>
        <w:t xml:space="preserve"> tee L1 (50402:001:0317), 4 Tallinn-Pärnu-Ikla tee (50402:001:0149), 4 Tallinn-Pärnu-Ikla tee (50201:001:0651), </w:t>
      </w:r>
      <w:proofErr w:type="spellStart"/>
      <w:r w:rsidRPr="00675F7C">
        <w:rPr>
          <w:szCs w:val="24"/>
        </w:rPr>
        <w:t>Tehnopargi</w:t>
      </w:r>
      <w:proofErr w:type="spellEnd"/>
      <w:r w:rsidRPr="00675F7C">
        <w:rPr>
          <w:szCs w:val="24"/>
        </w:rPr>
        <w:t xml:space="preserve"> tee 1 (50201:001:0650), Ülase (50402:001:0290), Sinilille (50402:001:0293), Parkla (50402:001:0294), Karavani (50402:001:0295), Pääsusilma (50402:001:0297), </w:t>
      </w:r>
      <w:proofErr w:type="spellStart"/>
      <w:r w:rsidRPr="00675F7C">
        <w:rPr>
          <w:szCs w:val="24"/>
        </w:rPr>
        <w:t>Tehnopargi</w:t>
      </w:r>
      <w:proofErr w:type="spellEnd"/>
      <w:r w:rsidRPr="00675F7C">
        <w:rPr>
          <w:szCs w:val="24"/>
        </w:rPr>
        <w:t xml:space="preserve"> tee 3 (50402:001:0298), Võilille (50402:001:0296), Kullerkupu (50402:001:0289) ja osaliselt Orgita paekarjääri tee (50201:001:0752) planeeringualast kuni 28 Rapla-Märjamaa teeni.</w:t>
      </w:r>
      <w:r>
        <w:rPr>
          <w:szCs w:val="24"/>
        </w:rPr>
        <w:t xml:space="preserve"> </w:t>
      </w:r>
    </w:p>
    <w:p w14:paraId="2373B7A4" w14:textId="77777777" w:rsidR="0019308B" w:rsidRPr="00C22458" w:rsidRDefault="0019308B" w:rsidP="0019308B">
      <w:pPr>
        <w:spacing w:before="276"/>
        <w:ind w:left="124"/>
        <w:rPr>
          <w:szCs w:val="24"/>
          <w:highlight w:val="yellow"/>
        </w:rPr>
      </w:pPr>
      <w:r>
        <w:t>P</w:t>
      </w:r>
      <w:r w:rsidRPr="003E65CD">
        <w:t>laneering ei ole kooskõlas Tallinn–Pärnu–Ikla riigimaantee arendamise ja avaliku huvi projektide elluviimise eesmärkidega</w:t>
      </w:r>
      <w:r>
        <w:t xml:space="preserve"> järgmistel katastriüksustel: </w:t>
      </w:r>
      <w:r w:rsidRPr="00675F7C">
        <w:rPr>
          <w:szCs w:val="24"/>
        </w:rPr>
        <w:t>4 Tallinn-Pärnu-Ikla tee (50201:001:0651)</w:t>
      </w:r>
      <w:r>
        <w:rPr>
          <w:szCs w:val="24"/>
        </w:rPr>
        <w:t xml:space="preserve">, </w:t>
      </w:r>
      <w:proofErr w:type="spellStart"/>
      <w:r w:rsidRPr="00675F7C">
        <w:rPr>
          <w:szCs w:val="24"/>
        </w:rPr>
        <w:t>Tehnopargi</w:t>
      </w:r>
      <w:proofErr w:type="spellEnd"/>
      <w:r w:rsidRPr="00675F7C">
        <w:rPr>
          <w:szCs w:val="24"/>
        </w:rPr>
        <w:t xml:space="preserve"> tee L1 (50402:001:0317)</w:t>
      </w:r>
      <w:r>
        <w:rPr>
          <w:szCs w:val="24"/>
        </w:rPr>
        <w:t xml:space="preserve">, </w:t>
      </w:r>
      <w:r w:rsidRPr="00A8261E">
        <w:rPr>
          <w:szCs w:val="24"/>
        </w:rPr>
        <w:t>4 Tallinn-Pärnu-Ikla tee</w:t>
      </w:r>
      <w:r>
        <w:rPr>
          <w:szCs w:val="24"/>
        </w:rPr>
        <w:t xml:space="preserve"> </w:t>
      </w:r>
      <w:r w:rsidRPr="00675F7C">
        <w:rPr>
          <w:szCs w:val="24"/>
        </w:rPr>
        <w:t>(50201:001:0665)</w:t>
      </w:r>
      <w:r>
        <w:rPr>
          <w:szCs w:val="24"/>
        </w:rPr>
        <w:t xml:space="preserve">, </w:t>
      </w:r>
      <w:r w:rsidRPr="0019373F">
        <w:rPr>
          <w:szCs w:val="24"/>
        </w:rPr>
        <w:t>4 Tallinn-Pärnu-Ikla tee</w:t>
      </w:r>
      <w:r>
        <w:rPr>
          <w:szCs w:val="24"/>
        </w:rPr>
        <w:t xml:space="preserve"> (</w:t>
      </w:r>
      <w:r w:rsidRPr="0019373F">
        <w:rPr>
          <w:szCs w:val="24"/>
        </w:rPr>
        <w:t>50201:001:0664</w:t>
      </w:r>
      <w:r>
        <w:rPr>
          <w:szCs w:val="24"/>
        </w:rPr>
        <w:t xml:space="preserve">), </w:t>
      </w:r>
      <w:r w:rsidRPr="009D48C6">
        <w:rPr>
          <w:szCs w:val="24"/>
        </w:rPr>
        <w:t>4 Tallinn-Pärnu-Ikla tee</w:t>
      </w:r>
      <w:r>
        <w:rPr>
          <w:szCs w:val="24"/>
        </w:rPr>
        <w:t xml:space="preserve"> (</w:t>
      </w:r>
      <w:r w:rsidRPr="00EA20A1">
        <w:rPr>
          <w:szCs w:val="24"/>
        </w:rPr>
        <w:t>50201:001:0588</w:t>
      </w:r>
      <w:r>
        <w:rPr>
          <w:szCs w:val="24"/>
        </w:rPr>
        <w:t xml:space="preserve">), </w:t>
      </w:r>
      <w:proofErr w:type="spellStart"/>
      <w:r w:rsidRPr="00E35647">
        <w:rPr>
          <w:szCs w:val="24"/>
        </w:rPr>
        <w:t>Tehnopargi</w:t>
      </w:r>
      <w:proofErr w:type="spellEnd"/>
      <w:r w:rsidRPr="00E35647">
        <w:rPr>
          <w:szCs w:val="24"/>
        </w:rPr>
        <w:t xml:space="preserve"> tee 9</w:t>
      </w:r>
      <w:r>
        <w:rPr>
          <w:szCs w:val="24"/>
        </w:rPr>
        <w:t xml:space="preserve"> (</w:t>
      </w:r>
      <w:r w:rsidRPr="00E35647">
        <w:rPr>
          <w:szCs w:val="24"/>
        </w:rPr>
        <w:t>50402:001:0315</w:t>
      </w:r>
      <w:r>
        <w:rPr>
          <w:szCs w:val="24"/>
        </w:rPr>
        <w:t xml:space="preserve">), </w:t>
      </w:r>
      <w:r w:rsidRPr="00ED147F">
        <w:rPr>
          <w:szCs w:val="24"/>
        </w:rPr>
        <w:t>4 Tallinn-Pärnu-Ikla tee</w:t>
      </w:r>
      <w:r>
        <w:rPr>
          <w:szCs w:val="24"/>
        </w:rPr>
        <w:t xml:space="preserve"> (</w:t>
      </w:r>
      <w:r w:rsidRPr="001D3BDD">
        <w:rPr>
          <w:szCs w:val="24"/>
        </w:rPr>
        <w:t>50201:001:0666</w:t>
      </w:r>
      <w:r>
        <w:rPr>
          <w:szCs w:val="24"/>
        </w:rPr>
        <w:t xml:space="preserve">), </w:t>
      </w:r>
      <w:proofErr w:type="spellStart"/>
      <w:r>
        <w:rPr>
          <w:szCs w:val="24"/>
        </w:rPr>
        <w:t>Tehnopargi</w:t>
      </w:r>
      <w:proofErr w:type="spellEnd"/>
      <w:r>
        <w:rPr>
          <w:szCs w:val="24"/>
        </w:rPr>
        <w:t xml:space="preserve"> tee L2 (</w:t>
      </w:r>
      <w:r w:rsidRPr="00836102">
        <w:rPr>
          <w:szCs w:val="24"/>
        </w:rPr>
        <w:t>50201:001:0668</w:t>
      </w:r>
      <w:r>
        <w:rPr>
          <w:szCs w:val="24"/>
        </w:rPr>
        <w:t xml:space="preserve">), </w:t>
      </w:r>
      <w:r w:rsidRPr="00940606">
        <w:rPr>
          <w:szCs w:val="24"/>
        </w:rPr>
        <w:t>Rukkilille</w:t>
      </w:r>
      <w:r>
        <w:rPr>
          <w:szCs w:val="24"/>
        </w:rPr>
        <w:t xml:space="preserve"> (</w:t>
      </w:r>
      <w:r w:rsidRPr="00940606">
        <w:rPr>
          <w:szCs w:val="24"/>
        </w:rPr>
        <w:t>50402:001:0314</w:t>
      </w:r>
      <w:r>
        <w:rPr>
          <w:szCs w:val="24"/>
        </w:rPr>
        <w:t>) ja Kannikese (</w:t>
      </w:r>
      <w:r w:rsidRPr="00E5308D">
        <w:rPr>
          <w:szCs w:val="24"/>
        </w:rPr>
        <w:t>50402:001:0313</w:t>
      </w:r>
      <w:r>
        <w:rPr>
          <w:szCs w:val="24"/>
        </w:rPr>
        <w:t>).</w:t>
      </w:r>
    </w:p>
    <w:p w14:paraId="2958DB02" w14:textId="77777777" w:rsidR="0019308B" w:rsidRDefault="0019308B" w:rsidP="0019308B">
      <w:pPr>
        <w:spacing w:before="276"/>
        <w:ind w:left="124"/>
        <w:rPr>
          <w:szCs w:val="24"/>
        </w:rPr>
      </w:pPr>
      <w:r w:rsidRPr="0033505D">
        <w:rPr>
          <w:szCs w:val="24"/>
        </w:rPr>
        <w:t>Detailplaneeringu kehtestamisest möödunud 10 aasta</w:t>
      </w:r>
      <w:r>
        <w:rPr>
          <w:szCs w:val="24"/>
        </w:rPr>
        <w:t xml:space="preserve">. </w:t>
      </w:r>
      <w:r w:rsidRPr="00377FAF">
        <w:rPr>
          <w:szCs w:val="24"/>
        </w:rPr>
        <w:t xml:space="preserve">Märjamaa valla üldplaneeringu (Kehtestatud Märjamaa Vallavolikogu </w:t>
      </w:r>
      <w:r w:rsidRPr="007E7F0F">
        <w:rPr>
          <w:szCs w:val="24"/>
        </w:rPr>
        <w:t>20.06.</w:t>
      </w:r>
      <w:r w:rsidRPr="00675F7C">
        <w:rPr>
          <w:szCs w:val="24"/>
        </w:rPr>
        <w:t xml:space="preserve">2000 otsusega </w:t>
      </w:r>
      <w:r w:rsidRPr="007E7F0F">
        <w:rPr>
          <w:szCs w:val="24"/>
        </w:rPr>
        <w:t xml:space="preserve">nr 11) </w:t>
      </w:r>
      <w:r w:rsidRPr="00783962">
        <w:rPr>
          <w:szCs w:val="24"/>
        </w:rPr>
        <w:t xml:space="preserve">kohaselt asub planeeringuala perspektiivses trassiteenindus- ja </w:t>
      </w:r>
      <w:r w:rsidRPr="005E7053">
        <w:rPr>
          <w:szCs w:val="24"/>
        </w:rPr>
        <w:t xml:space="preserve">tootmispiirkonnas. Orgita ettevõtluskompleksi detailplaneering </w:t>
      </w:r>
      <w:r w:rsidRPr="005E7053">
        <w:rPr>
          <w:szCs w:val="24"/>
        </w:rPr>
        <w:lastRenderedPageBreak/>
        <w:t>vastab Märjamaa valla kehtivale üldplaneeringule ja on sellega kooskõlas.</w:t>
      </w:r>
      <w:r>
        <w:rPr>
          <w:szCs w:val="24"/>
        </w:rPr>
        <w:t xml:space="preserve"> </w:t>
      </w:r>
      <w:r w:rsidRPr="00645464">
        <w:rPr>
          <w:szCs w:val="24"/>
        </w:rPr>
        <w:t>Küll aga ei ole detailplaneering kooskõlas Tallinn–Pärnu–Ikla maantee riikliku tähtsusega ühendus</w:t>
      </w:r>
      <w:r>
        <w:rPr>
          <w:szCs w:val="24"/>
        </w:rPr>
        <w:t>e</w:t>
      </w:r>
      <w:r w:rsidRPr="00645464">
        <w:rPr>
          <w:szCs w:val="24"/>
        </w:rPr>
        <w:t xml:space="preserve"> ja sellega seotud arendusi puudutavate avaliku huvi eesmärkidega, kuna planeeringuala piiritlemine, kruntide paigutus ja </w:t>
      </w:r>
      <w:proofErr w:type="spellStart"/>
      <w:r w:rsidRPr="00645464">
        <w:rPr>
          <w:szCs w:val="24"/>
        </w:rPr>
        <w:t>tänavatevõrk</w:t>
      </w:r>
      <w:proofErr w:type="spellEnd"/>
      <w:r w:rsidRPr="00645464">
        <w:rPr>
          <w:szCs w:val="24"/>
        </w:rPr>
        <w:t xml:space="preserve"> ei arvesta piisavalt riigimaantee arendamise, ristmike ümberkujundamise või teenindusasutuste (nt tanklad, logistikakeskused) vajadustega.</w:t>
      </w:r>
      <w:r>
        <w:rPr>
          <w:szCs w:val="24"/>
        </w:rPr>
        <w:t xml:space="preserve"> </w:t>
      </w:r>
      <w:r w:rsidRPr="00645464">
        <w:rPr>
          <w:szCs w:val="24"/>
        </w:rPr>
        <w:t>Sellest tulenevalt takistab kehtiv detailplaneering praegu trassiga seotud avaliku huvi projektide elluviimist ning on vajalik selle</w:t>
      </w:r>
      <w:r>
        <w:rPr>
          <w:szCs w:val="24"/>
        </w:rPr>
        <w:t xml:space="preserve"> </w:t>
      </w:r>
      <w:r w:rsidRPr="00645464">
        <w:rPr>
          <w:szCs w:val="24"/>
        </w:rPr>
        <w:t>osaline kehtetuks tunnistamine, et võimaldada riiklikult olulise taristuarenduse jätkusuutlik ja tõrgeteta realiseerimine kooskõlas ajakohaste planeerimispõhimõtetega.</w:t>
      </w:r>
      <w:r>
        <w:rPr>
          <w:szCs w:val="24"/>
        </w:rPr>
        <w:t xml:space="preserve"> </w:t>
      </w:r>
    </w:p>
    <w:p w14:paraId="50D699B1" w14:textId="77777777" w:rsidR="0019308B" w:rsidRPr="00D43552" w:rsidRDefault="0019308B" w:rsidP="0019308B">
      <w:pPr>
        <w:spacing w:before="276"/>
        <w:ind w:left="124"/>
        <w:rPr>
          <w:szCs w:val="24"/>
        </w:rPr>
      </w:pPr>
      <w:r w:rsidRPr="00D43552">
        <w:rPr>
          <w:szCs w:val="24"/>
        </w:rPr>
        <w:t>Kuigi Orgita ettevõtluskompleksi detailplaneering on kehtestatud kooskõlas Märjamaa valla üldplaneeringuga ning vastab kehtestamise hetke vajadustele, ei ole planeeringuala lahendus enam täiel määral kooskõlas tänaseks välja kujunenud või kavandatavate avaliku huviga taristuprojektidega, eelkõige seoses Tallinn–Pärnu–Ikla riigimaantee arendamisega. Planeeringualal paiknevad krundijaotus ja taristulahendused takistavad hetkel maanteeäärse teenindus- ja logistikataristu kavandamist ning võivad osutuda takistuseks riiklikult oluliste ühenduste sujuvale toimimisele ja arengule.</w:t>
      </w:r>
    </w:p>
    <w:p w14:paraId="53D2FD75" w14:textId="77777777" w:rsidR="0019308B" w:rsidRPr="00675F7C" w:rsidRDefault="0019308B" w:rsidP="0019308B">
      <w:pPr>
        <w:spacing w:before="276"/>
        <w:ind w:left="124"/>
        <w:rPr>
          <w:szCs w:val="24"/>
        </w:rPr>
      </w:pPr>
      <w:r w:rsidRPr="00D43552">
        <w:rPr>
          <w:szCs w:val="24"/>
        </w:rPr>
        <w:t>Planeerimisseaduse § 140 lõike 2 kohaselt võib kehtiva detailplaneeringu osaliselt kehtetuks tunnistada, kui on tagatud planeeringu terviklahenduse elluviimine. Antud juhul on detailplaneeringu osaline kehtetuks tunnistamine vajalik, et tagada avalikes huvides oleva riigimaantee arendamise eesmärkide saavutamine ja kooskõla ajakohaste maakasutusvajadustega. Osaline kehtetuks tunnistamine loob eeldused paindlikumate planeerimis- ja projekteerimisvõimaluste kasutamiseks ning aitab tagada piirkonna tervikliku ja otstarbeka ruumilise arengu.</w:t>
      </w:r>
    </w:p>
    <w:p w14:paraId="60524965" w14:textId="77777777" w:rsidR="0019308B" w:rsidRPr="00DA7891" w:rsidRDefault="0019308B" w:rsidP="0019308B">
      <w:pPr>
        <w:spacing w:before="276"/>
        <w:ind w:left="124"/>
        <w:rPr>
          <w:szCs w:val="24"/>
        </w:rPr>
      </w:pPr>
      <w:r w:rsidRPr="00DA7891">
        <w:rPr>
          <w:szCs w:val="24"/>
        </w:rPr>
        <w:t xml:space="preserve">Planeerimisseaduse (edaspidi </w:t>
      </w:r>
      <w:proofErr w:type="spellStart"/>
      <w:r w:rsidRPr="00DA7891">
        <w:rPr>
          <w:szCs w:val="24"/>
        </w:rPr>
        <w:t>PlanS</w:t>
      </w:r>
      <w:proofErr w:type="spellEnd"/>
      <w:r w:rsidRPr="00DA7891">
        <w:rPr>
          <w:szCs w:val="24"/>
        </w:rPr>
        <w:t xml:space="preserve">) § 140 lg 3 alusel tuleb kehtiva detailplaneeringu osalise kehtetuks tunnistamise otsuse eelnõu edastada </w:t>
      </w:r>
      <w:proofErr w:type="spellStart"/>
      <w:r w:rsidRPr="00DA7891">
        <w:rPr>
          <w:szCs w:val="24"/>
        </w:rPr>
        <w:t>PlanS</w:t>
      </w:r>
      <w:proofErr w:type="spellEnd"/>
      <w:r w:rsidRPr="00DA7891">
        <w:rPr>
          <w:szCs w:val="24"/>
        </w:rPr>
        <w:t xml:space="preserve"> § 127 lg 1 nimetatud asutustele kooskõlastamiseks ning </w:t>
      </w:r>
      <w:proofErr w:type="spellStart"/>
      <w:r w:rsidRPr="00DA7891">
        <w:rPr>
          <w:szCs w:val="24"/>
        </w:rPr>
        <w:t>PlanS</w:t>
      </w:r>
      <w:proofErr w:type="spellEnd"/>
      <w:r w:rsidRPr="00DA7891">
        <w:rPr>
          <w:szCs w:val="24"/>
        </w:rPr>
        <w:t xml:space="preserve"> § 127 lg 2 nimetatud isikutele arvamuse andmiseks.</w:t>
      </w:r>
    </w:p>
    <w:p w14:paraId="4FD68401" w14:textId="77777777" w:rsidR="0019308B" w:rsidRPr="00BA2BCB" w:rsidRDefault="0019308B" w:rsidP="0019308B">
      <w:pPr>
        <w:spacing w:before="276"/>
        <w:ind w:left="124"/>
        <w:rPr>
          <w:szCs w:val="24"/>
        </w:rPr>
      </w:pPr>
      <w:r w:rsidRPr="00BA2BCB">
        <w:rPr>
          <w:szCs w:val="24"/>
        </w:rPr>
        <w:t xml:space="preserve">Detailplaneeringu osalise kehtetuks tunnistamise eelnõu avalik väljapanek toimus </w:t>
      </w:r>
      <w:r>
        <w:rPr>
          <w:szCs w:val="24"/>
          <w:highlight w:val="red"/>
        </w:rPr>
        <w:t>…</w:t>
      </w:r>
      <w:r w:rsidRPr="00CC05CF">
        <w:rPr>
          <w:szCs w:val="24"/>
          <w:highlight w:val="red"/>
        </w:rPr>
        <w:t xml:space="preserve"> </w:t>
      </w:r>
      <w:r w:rsidRPr="00BA2BCB">
        <w:rPr>
          <w:szCs w:val="24"/>
        </w:rPr>
        <w:t xml:space="preserve">Märjamaa valla kodulehel. Märjamaa Vallavalitsuse kirjadega </w:t>
      </w:r>
      <w:r w:rsidRPr="00BA2BCB">
        <w:rPr>
          <w:szCs w:val="24"/>
          <w:highlight w:val="red"/>
        </w:rPr>
        <w:t xml:space="preserve">nr </w:t>
      </w:r>
      <w:r>
        <w:rPr>
          <w:szCs w:val="24"/>
          <w:highlight w:val="red"/>
        </w:rPr>
        <w:t>…</w:t>
      </w:r>
      <w:r w:rsidRPr="00BA2BCB">
        <w:rPr>
          <w:szCs w:val="24"/>
          <w:highlight w:val="red"/>
        </w:rPr>
        <w:t xml:space="preserve"> </w:t>
      </w:r>
      <w:r w:rsidRPr="00BA2BCB">
        <w:rPr>
          <w:szCs w:val="24"/>
        </w:rPr>
        <w:t xml:space="preserve">pöörduti isikute ja asutuste poole, kelle õigusi võib detailplaneeringu osaline kehtetuks tunnistamine puudutada, detailplaneeringu kehtetuks tunnistamise otsuse eelnõule seisukoha saamiseks.  </w:t>
      </w:r>
    </w:p>
    <w:p w14:paraId="7392EBCF" w14:textId="77777777" w:rsidR="0019308B" w:rsidRPr="00C22458" w:rsidRDefault="0019308B" w:rsidP="0019308B">
      <w:pPr>
        <w:spacing w:before="276"/>
        <w:ind w:left="124"/>
        <w:rPr>
          <w:szCs w:val="24"/>
          <w:highlight w:val="yellow"/>
        </w:rPr>
      </w:pPr>
      <w:proofErr w:type="spellStart"/>
      <w:r w:rsidRPr="0077112F">
        <w:rPr>
          <w:szCs w:val="24"/>
        </w:rPr>
        <w:t>PlanS</w:t>
      </w:r>
      <w:proofErr w:type="spellEnd"/>
      <w:r w:rsidRPr="0077112F">
        <w:rPr>
          <w:szCs w:val="24"/>
        </w:rPr>
        <w:t xml:space="preserve"> § 140 lõige 4 sätestab, </w:t>
      </w:r>
      <w:r w:rsidRPr="00C96659">
        <w:rPr>
          <w:szCs w:val="24"/>
        </w:rPr>
        <w:t xml:space="preserve">et kui </w:t>
      </w:r>
      <w:proofErr w:type="spellStart"/>
      <w:r w:rsidRPr="00C96659">
        <w:rPr>
          <w:szCs w:val="24"/>
        </w:rPr>
        <w:t>kooskõlastaja</w:t>
      </w:r>
      <w:proofErr w:type="spellEnd"/>
      <w:r w:rsidRPr="00C96659">
        <w:rPr>
          <w:szCs w:val="24"/>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Pr="00C96659">
        <w:rPr>
          <w:szCs w:val="24"/>
        </w:rPr>
        <w:t>kooskõlastaja</w:t>
      </w:r>
      <w:proofErr w:type="spellEnd"/>
      <w:r w:rsidRPr="00C96659">
        <w:rPr>
          <w:szCs w:val="24"/>
        </w:rPr>
        <w:t xml:space="preserve"> poolt vaikimisi kooskõlastatuks või eeldatakse, et arvamuse andja ei soovi selle kohta arvamust avaldada, kui seadus ei sätesta teisiti.  </w:t>
      </w:r>
    </w:p>
    <w:p w14:paraId="666D4F0C" w14:textId="77777777" w:rsidR="0019308B" w:rsidRPr="002179D3" w:rsidRDefault="0019308B" w:rsidP="0019308B">
      <w:pPr>
        <w:spacing w:before="276"/>
        <w:ind w:left="124"/>
        <w:rPr>
          <w:szCs w:val="24"/>
        </w:rPr>
      </w:pPr>
      <w:r w:rsidRPr="002179D3">
        <w:rPr>
          <w:szCs w:val="24"/>
        </w:rPr>
        <w:t xml:space="preserve">Detailplaneering koostatakse </w:t>
      </w:r>
      <w:proofErr w:type="spellStart"/>
      <w:r w:rsidRPr="002179D3">
        <w:rPr>
          <w:szCs w:val="24"/>
        </w:rPr>
        <w:t>PlanS</w:t>
      </w:r>
      <w:proofErr w:type="spellEnd"/>
      <w:r w:rsidRPr="002179D3">
        <w:rPr>
          <w:szCs w:val="24"/>
        </w:rPr>
        <w:t xml:space="preserve"> § 124 lõike 1 kohaselt kohaliku omavalitsuse üksuse territooriumi osa planeerimiseks ning lõike 2 kohaselt on detailplaneeringu eesmärk eelkõige üldplaneeringu elluviimine ja planeeringualale ruumilise terviklahenduse loomine. Detailplaneering on lähiaastate ehitustegevuse alus. Kohaliku omavalitsuse üksus on detailplaneeringu koostamise korraldaja vastavalt </w:t>
      </w:r>
      <w:proofErr w:type="spellStart"/>
      <w:r w:rsidRPr="002179D3">
        <w:rPr>
          <w:szCs w:val="24"/>
        </w:rPr>
        <w:t>PlanS</w:t>
      </w:r>
      <w:proofErr w:type="spellEnd"/>
      <w:r w:rsidRPr="002179D3">
        <w:rPr>
          <w:szCs w:val="24"/>
        </w:rPr>
        <w:t xml:space="preserve"> § 124 </w:t>
      </w:r>
      <w:proofErr w:type="spellStart"/>
      <w:r w:rsidRPr="002179D3">
        <w:rPr>
          <w:szCs w:val="24"/>
        </w:rPr>
        <w:t>lg-le</w:t>
      </w:r>
      <w:proofErr w:type="spellEnd"/>
      <w:r w:rsidRPr="002179D3">
        <w:rPr>
          <w:szCs w:val="24"/>
        </w:rPr>
        <w:t xml:space="preserve"> 10.  </w:t>
      </w:r>
    </w:p>
    <w:p w14:paraId="0A7E5A1A" w14:textId="77777777" w:rsidR="0019308B" w:rsidRPr="004919F7" w:rsidRDefault="0019308B" w:rsidP="0019308B">
      <w:pPr>
        <w:spacing w:before="276"/>
        <w:ind w:left="124"/>
        <w:rPr>
          <w:szCs w:val="24"/>
        </w:rPr>
      </w:pPr>
      <w:proofErr w:type="spellStart"/>
      <w:r w:rsidRPr="004919F7">
        <w:rPr>
          <w:szCs w:val="24"/>
        </w:rPr>
        <w:t>PlanS</w:t>
      </w:r>
      <w:proofErr w:type="spellEnd"/>
      <w:r w:rsidRPr="004919F7">
        <w:rPr>
          <w:szCs w:val="24"/>
        </w:rPr>
        <w:t xml:space="preserve"> § 140 lõike 2 kohaselt võib kehtestatud detailplaneeringu osaliselt kehtetuks tunnistada, kui on tagatud planeeringu terviklahenduse elluviimine pärast detailplaneeringu osalist kehtetuks tunnistamist. </w:t>
      </w:r>
      <w:r>
        <w:rPr>
          <w:szCs w:val="24"/>
        </w:rPr>
        <w:t xml:space="preserve">Antud juhul tagatakse detailplaneeringu elluviimine täpsustavate projekteerimistingimustega, kuna vastavalt HMS </w:t>
      </w:r>
      <w:r w:rsidRPr="00C7182A">
        <w:rPr>
          <w:szCs w:val="24"/>
        </w:rPr>
        <w:t>§</w:t>
      </w:r>
      <w:r>
        <w:rPr>
          <w:szCs w:val="24"/>
        </w:rPr>
        <w:t xml:space="preserve">  lg 2 e</w:t>
      </w:r>
      <w:r w:rsidRPr="00217D00">
        <w:rPr>
          <w:szCs w:val="24"/>
        </w:rPr>
        <w:t>elistada tule</w:t>
      </w:r>
      <w:r>
        <w:rPr>
          <w:szCs w:val="24"/>
        </w:rPr>
        <w:t>ks</w:t>
      </w:r>
      <w:r w:rsidRPr="00217D00">
        <w:rPr>
          <w:szCs w:val="24"/>
        </w:rPr>
        <w:t xml:space="preserve"> vähem koormava</w:t>
      </w:r>
      <w:r>
        <w:rPr>
          <w:szCs w:val="24"/>
        </w:rPr>
        <w:t>t menetlust.</w:t>
      </w:r>
    </w:p>
    <w:p w14:paraId="2C5349A6" w14:textId="77777777" w:rsidR="0019308B" w:rsidRPr="00BD2573" w:rsidRDefault="0019308B" w:rsidP="0019308B">
      <w:pPr>
        <w:spacing w:before="276"/>
        <w:ind w:left="124"/>
        <w:rPr>
          <w:szCs w:val="24"/>
        </w:rPr>
      </w:pPr>
      <w:r w:rsidRPr="00C7182A">
        <w:rPr>
          <w:szCs w:val="24"/>
        </w:rPr>
        <w:t xml:space="preserve">Kohaliku omavalitsuse korralduse seaduse § 22 lg 1 p 33 ja </w:t>
      </w:r>
      <w:proofErr w:type="spellStart"/>
      <w:r w:rsidRPr="00C7182A">
        <w:rPr>
          <w:szCs w:val="24"/>
        </w:rPr>
        <w:t>PlanS</w:t>
      </w:r>
      <w:proofErr w:type="spellEnd"/>
      <w:r w:rsidRPr="00C7182A">
        <w:rPr>
          <w:szCs w:val="24"/>
        </w:rPr>
        <w:t xml:space="preserve"> § 140 lg 6 kohaselt on detailplaneeringu kehtetuks tunnistamine volikogu ainupädevuses. </w:t>
      </w:r>
      <w:r>
        <w:rPr>
          <w:szCs w:val="24"/>
          <w:highlight w:val="yellow"/>
        </w:rPr>
        <w:br/>
      </w:r>
    </w:p>
    <w:p w14:paraId="123D339C" w14:textId="77777777" w:rsidR="0019308B" w:rsidRDefault="0019308B" w:rsidP="0019308B">
      <w:pPr>
        <w:spacing w:before="276"/>
        <w:ind w:left="124"/>
        <w:rPr>
          <w:szCs w:val="24"/>
          <w:highlight w:val="yellow"/>
        </w:rPr>
      </w:pPr>
      <w:r w:rsidRPr="00AD2670">
        <w:rPr>
          <w:szCs w:val="24"/>
        </w:rPr>
        <w:lastRenderedPageBreak/>
        <w:t xml:space="preserve">Eespool toodust tulenevalt leiab Märjamaa Vallavolikogu, et detailplaneeringu osaline kehtetuks tunnistamine ei too kaasa planeeringuala puudutatud isikutele negatiivseid mõjutusi ega nende olukorra halvenemist. </w:t>
      </w:r>
    </w:p>
    <w:p w14:paraId="50F19407" w14:textId="77777777" w:rsidR="0019308B" w:rsidRPr="00A07932" w:rsidRDefault="0019308B" w:rsidP="0019308B">
      <w:pPr>
        <w:spacing w:before="276"/>
        <w:ind w:left="124"/>
        <w:rPr>
          <w:szCs w:val="24"/>
        </w:rPr>
      </w:pPr>
      <w:r w:rsidRPr="00A07932">
        <w:rPr>
          <w:szCs w:val="24"/>
        </w:rPr>
        <w:t xml:space="preserve">Kohaliku omavalitsuse korralduse seaduse § 22 lg 1 p 33 ja </w:t>
      </w:r>
      <w:proofErr w:type="spellStart"/>
      <w:r w:rsidRPr="00A07932">
        <w:rPr>
          <w:szCs w:val="24"/>
        </w:rPr>
        <w:t>PlanS</w:t>
      </w:r>
      <w:proofErr w:type="spellEnd"/>
      <w:r w:rsidRPr="00A07932">
        <w:rPr>
          <w:szCs w:val="24"/>
        </w:rPr>
        <w:t xml:space="preserve"> § 140 lg 6 kohaselt on detailplaneeringu osalise kehtetuks tunnistamise otsustamine volikogu ainupädevuses.</w:t>
      </w:r>
    </w:p>
    <w:p w14:paraId="5EC8BEC3" w14:textId="77777777" w:rsidR="0019308B" w:rsidRPr="00AC02A0" w:rsidRDefault="0019308B" w:rsidP="0019308B">
      <w:pPr>
        <w:spacing w:before="276"/>
        <w:ind w:left="124"/>
        <w:rPr>
          <w:b/>
          <w:bCs/>
          <w:szCs w:val="24"/>
        </w:rPr>
      </w:pPr>
      <w:r w:rsidRPr="00AC02A0">
        <w:rPr>
          <w:b/>
          <w:bCs/>
          <w:szCs w:val="24"/>
        </w:rPr>
        <w:t xml:space="preserve">o t s u s t a b: </w:t>
      </w:r>
    </w:p>
    <w:p w14:paraId="564B2019" w14:textId="77777777" w:rsidR="0019308B" w:rsidRDefault="0019308B" w:rsidP="0019308B">
      <w:pPr>
        <w:pStyle w:val="Loendilik"/>
        <w:widowControl w:val="0"/>
        <w:numPr>
          <w:ilvl w:val="0"/>
          <w:numId w:val="15"/>
        </w:numPr>
        <w:tabs>
          <w:tab w:val="clear" w:pos="360"/>
          <w:tab w:val="num" w:pos="844"/>
        </w:tabs>
        <w:suppressAutoHyphens w:val="0"/>
        <w:autoSpaceDE w:val="0"/>
        <w:autoSpaceDN w:val="0"/>
        <w:spacing w:before="276"/>
        <w:ind w:left="844"/>
        <w:contextualSpacing w:val="0"/>
      </w:pPr>
      <w:r w:rsidRPr="003E65CD">
        <w:t xml:space="preserve">Tunnistada osaliselt kehtetuks Orgita ettevõtluskompleksi detailplaneeringu nende </w:t>
      </w:r>
      <w:r>
        <w:t>katastriüksuste</w:t>
      </w:r>
      <w:r w:rsidRPr="003E65CD">
        <w:t xml:space="preserve"> osas, kus planeering ei ole kooskõlas Tallinn–Pärnu–Ikla riigimaantee arendamise ja avaliku huvi projektide elluviimise eesmärkidega.</w:t>
      </w:r>
      <w:r>
        <w:t xml:space="preserve"> </w:t>
      </w:r>
    </w:p>
    <w:p w14:paraId="1B1B3015" w14:textId="77777777" w:rsidR="0019308B" w:rsidRPr="003E65CD" w:rsidRDefault="0019308B" w:rsidP="0019308B">
      <w:pPr>
        <w:pStyle w:val="Loendilik"/>
        <w:spacing w:before="276"/>
        <w:ind w:left="844"/>
      </w:pPr>
    </w:p>
    <w:p w14:paraId="7D1056AA" w14:textId="77777777" w:rsidR="0019308B" w:rsidRPr="008820AE" w:rsidRDefault="0019308B" w:rsidP="0019308B">
      <w:pPr>
        <w:numPr>
          <w:ilvl w:val="0"/>
          <w:numId w:val="15"/>
        </w:numPr>
        <w:tabs>
          <w:tab w:val="clear" w:pos="360"/>
          <w:tab w:val="num" w:pos="844"/>
        </w:tabs>
        <w:suppressAutoHyphens w:val="0"/>
        <w:ind w:left="844"/>
        <w:rPr>
          <w:szCs w:val="24"/>
        </w:rPr>
      </w:pPr>
      <w:r w:rsidRPr="008820AE">
        <w:rPr>
          <w:bCs/>
          <w:noProof/>
          <w:szCs w:val="24"/>
        </w:rPr>
        <w:t>Otsus jõustub teatavakstegemisest.</w:t>
      </w:r>
    </w:p>
    <w:p w14:paraId="76D9AB12" w14:textId="77777777" w:rsidR="0019308B" w:rsidRPr="008820AE" w:rsidRDefault="0019308B" w:rsidP="0019308B">
      <w:pPr>
        <w:rPr>
          <w:szCs w:val="24"/>
        </w:rPr>
      </w:pPr>
    </w:p>
    <w:p w14:paraId="1784C05C" w14:textId="77777777" w:rsidR="0019308B" w:rsidRPr="008820AE" w:rsidRDefault="0019308B" w:rsidP="0019308B">
      <w:pPr>
        <w:numPr>
          <w:ilvl w:val="0"/>
          <w:numId w:val="15"/>
        </w:numPr>
        <w:tabs>
          <w:tab w:val="clear" w:pos="360"/>
          <w:tab w:val="num" w:pos="844"/>
        </w:tabs>
        <w:suppressAutoHyphens w:val="0"/>
        <w:ind w:left="844"/>
        <w:rPr>
          <w:szCs w:val="24"/>
        </w:rPr>
      </w:pPr>
      <w:r w:rsidRPr="008820AE">
        <w:rPr>
          <w:szCs w:val="24"/>
        </w:rPr>
        <w:t xml:space="preserve">Käesolevat haldusakti on võimalik vaidlustada 30 päeva jooksul selle teatavakstegemisest, </w:t>
      </w:r>
    </w:p>
    <w:p w14:paraId="5AD455C6" w14:textId="77777777" w:rsidR="0019308B" w:rsidRPr="008820AE" w:rsidRDefault="0019308B" w:rsidP="0019308B">
      <w:pPr>
        <w:ind w:left="360"/>
        <w:rPr>
          <w:szCs w:val="24"/>
        </w:rPr>
      </w:pPr>
      <w:r w:rsidRPr="008820AE">
        <w:rPr>
          <w:szCs w:val="24"/>
        </w:rPr>
        <w:t>esitades vaide Märjamaa Vallavolikogule haldusmenetluse seaduses või kaebuse Tallinna Halduskohtule halduskohtumenetluse seadustikus sätestatud korras.</w:t>
      </w:r>
    </w:p>
    <w:p w14:paraId="68E9D834" w14:textId="77777777" w:rsidR="00E05DE6" w:rsidRPr="00214B12" w:rsidRDefault="00E05DE6" w:rsidP="00E05DE6">
      <w:pPr>
        <w:pStyle w:val="Loendilik"/>
        <w:suppressAutoHyphens w:val="0"/>
        <w:ind w:left="360"/>
        <w:rPr>
          <w:color w:val="000000"/>
          <w:highlight w:val="yellow"/>
        </w:rPr>
      </w:pPr>
    </w:p>
    <w:p w14:paraId="2389D283" w14:textId="3F996225" w:rsidR="00C22131" w:rsidRPr="00175EB6" w:rsidRDefault="00A62BEB" w:rsidP="00135B14">
      <w:r>
        <w:t>(allkirjastatud digitaalselt)</w:t>
      </w:r>
    </w:p>
    <w:p w14:paraId="795DAC8A" w14:textId="77777777" w:rsidR="008A5B5D" w:rsidRPr="00175EB6" w:rsidRDefault="00F5679B" w:rsidP="008A5B5D">
      <w:r w:rsidRPr="00175EB6">
        <w:t>Ottomar Linna</w:t>
      </w:r>
    </w:p>
    <w:p w14:paraId="3D2F0167" w14:textId="5592D15C" w:rsidR="00AD7C36" w:rsidRPr="00175EB6" w:rsidRDefault="008A5B5D" w:rsidP="00C275AB">
      <w:r w:rsidRPr="00175EB6">
        <w:t>volikogu esimees</w:t>
      </w:r>
    </w:p>
    <w:p w14:paraId="4A3B4347" w14:textId="77777777" w:rsidR="00224DF1" w:rsidRPr="00175EB6" w:rsidRDefault="00224DF1" w:rsidP="00C275AB"/>
    <w:p w14:paraId="6CA1247F" w14:textId="77777777" w:rsidR="00224DF1" w:rsidRPr="00175EB6" w:rsidRDefault="00224DF1" w:rsidP="00224DF1">
      <w:pPr>
        <w:rPr>
          <w:rFonts w:eastAsia="Calibri"/>
          <w:b/>
        </w:rPr>
      </w:pPr>
      <w:r w:rsidRPr="00175EB6">
        <w:rPr>
          <w:rFonts w:eastAsia="Calibri"/>
          <w:b/>
        </w:rPr>
        <w:t>OTSUSE EELNÕU SELETUSKIRI</w:t>
      </w:r>
    </w:p>
    <w:p w14:paraId="7D02070E" w14:textId="77777777" w:rsidR="00224DF1" w:rsidRPr="00214B12" w:rsidRDefault="00224DF1" w:rsidP="00224DF1">
      <w:pPr>
        <w:rPr>
          <w:rFonts w:eastAsia="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18"/>
      </w:tblGrid>
      <w:tr w:rsidR="00224DF1" w:rsidRPr="00214B12" w14:paraId="22B1117A" w14:textId="77777777" w:rsidTr="00B90D18">
        <w:trPr>
          <w:trHeight w:val="288"/>
        </w:trPr>
        <w:tc>
          <w:tcPr>
            <w:tcW w:w="3794" w:type="dxa"/>
          </w:tcPr>
          <w:p w14:paraId="51D5AC14" w14:textId="77777777" w:rsidR="00224DF1" w:rsidRPr="00175EB6" w:rsidRDefault="00224DF1" w:rsidP="00B90D18">
            <w:pPr>
              <w:rPr>
                <w:rFonts w:eastAsia="Calibri"/>
                <w:b/>
              </w:rPr>
            </w:pPr>
            <w:r w:rsidRPr="00175EB6">
              <w:rPr>
                <w:rFonts w:eastAsia="Calibri"/>
                <w:b/>
              </w:rPr>
              <w:t>Akti andja:</w:t>
            </w:r>
          </w:p>
        </w:tc>
        <w:tc>
          <w:tcPr>
            <w:tcW w:w="5418" w:type="dxa"/>
          </w:tcPr>
          <w:p w14:paraId="0D376F2F" w14:textId="77777777" w:rsidR="00224DF1" w:rsidRPr="00175EB6" w:rsidRDefault="00224DF1" w:rsidP="00B90D18">
            <w:pPr>
              <w:rPr>
                <w:rFonts w:eastAsia="Calibri"/>
              </w:rPr>
            </w:pPr>
            <w:r w:rsidRPr="00175EB6">
              <w:rPr>
                <w:rFonts w:eastAsia="Calibri"/>
              </w:rPr>
              <w:t>Märjamaa Vallavolikogu</w:t>
            </w:r>
          </w:p>
        </w:tc>
      </w:tr>
      <w:tr w:rsidR="00224DF1" w:rsidRPr="00214B12" w14:paraId="69436B26" w14:textId="77777777" w:rsidTr="00B90D18">
        <w:tc>
          <w:tcPr>
            <w:tcW w:w="3794" w:type="dxa"/>
          </w:tcPr>
          <w:p w14:paraId="7DF84005" w14:textId="77777777" w:rsidR="00224DF1" w:rsidRPr="00175EB6" w:rsidRDefault="00224DF1" w:rsidP="00B90D18">
            <w:pPr>
              <w:rPr>
                <w:rFonts w:eastAsia="Calibri"/>
                <w:b/>
                <w:i/>
              </w:rPr>
            </w:pPr>
            <w:r w:rsidRPr="00175EB6">
              <w:rPr>
                <w:rFonts w:eastAsia="Calibri"/>
                <w:b/>
              </w:rPr>
              <w:t>Õigusakti liik:</w:t>
            </w:r>
          </w:p>
        </w:tc>
        <w:tc>
          <w:tcPr>
            <w:tcW w:w="5418" w:type="dxa"/>
          </w:tcPr>
          <w:p w14:paraId="37BD03B1" w14:textId="77777777" w:rsidR="00224DF1" w:rsidRPr="00175EB6" w:rsidRDefault="00224DF1" w:rsidP="00B90D18">
            <w:pPr>
              <w:rPr>
                <w:rFonts w:eastAsia="Calibri"/>
              </w:rPr>
            </w:pPr>
            <w:r w:rsidRPr="00175EB6">
              <w:rPr>
                <w:rFonts w:eastAsia="Calibri"/>
              </w:rPr>
              <w:t>Otsus</w:t>
            </w:r>
          </w:p>
        </w:tc>
      </w:tr>
      <w:tr w:rsidR="00224DF1" w:rsidRPr="00214B12" w14:paraId="6C8C8EDC" w14:textId="77777777" w:rsidTr="00B90D18">
        <w:tc>
          <w:tcPr>
            <w:tcW w:w="3794" w:type="dxa"/>
          </w:tcPr>
          <w:p w14:paraId="5A728671" w14:textId="77777777" w:rsidR="00224DF1" w:rsidRPr="00175EB6" w:rsidRDefault="00224DF1" w:rsidP="00B90D18">
            <w:pPr>
              <w:rPr>
                <w:rFonts w:eastAsia="Calibri"/>
                <w:b/>
              </w:rPr>
            </w:pPr>
            <w:r w:rsidRPr="00175EB6">
              <w:rPr>
                <w:rFonts w:eastAsia="Calibri"/>
                <w:b/>
              </w:rPr>
              <w:t>Õigusakti pealkiri:</w:t>
            </w:r>
          </w:p>
        </w:tc>
        <w:tc>
          <w:tcPr>
            <w:tcW w:w="5418" w:type="dxa"/>
          </w:tcPr>
          <w:p w14:paraId="769C7DA1" w14:textId="16FF1DD1" w:rsidR="00224DF1" w:rsidRPr="00175EB6" w:rsidRDefault="0019308B" w:rsidP="00B90D18">
            <w:pPr>
              <w:rPr>
                <w:b/>
              </w:rPr>
            </w:pPr>
            <w:r>
              <w:rPr>
                <w:b/>
              </w:rPr>
              <w:t>Orgita ettevõtluskompleksi detailplaneeringu osaline kehtetuks tunnistamine</w:t>
            </w:r>
          </w:p>
        </w:tc>
      </w:tr>
      <w:tr w:rsidR="00224DF1" w:rsidRPr="00214B12" w14:paraId="6CF5B1EB" w14:textId="77777777" w:rsidTr="00B90D18">
        <w:tc>
          <w:tcPr>
            <w:tcW w:w="3794" w:type="dxa"/>
          </w:tcPr>
          <w:p w14:paraId="6751740C" w14:textId="77777777" w:rsidR="00224DF1" w:rsidRPr="00175EB6" w:rsidRDefault="00224DF1" w:rsidP="00B90D18">
            <w:pPr>
              <w:rPr>
                <w:rFonts w:eastAsia="Calibri"/>
                <w:i/>
              </w:rPr>
            </w:pPr>
            <w:r w:rsidRPr="00175EB6">
              <w:rPr>
                <w:rFonts w:eastAsia="Calibri"/>
                <w:b/>
              </w:rPr>
              <w:t>Õigusakti algataja:</w:t>
            </w:r>
          </w:p>
        </w:tc>
        <w:tc>
          <w:tcPr>
            <w:tcW w:w="5418" w:type="dxa"/>
          </w:tcPr>
          <w:p w14:paraId="3ADDE061" w14:textId="77777777" w:rsidR="00224DF1" w:rsidRPr="00175EB6" w:rsidRDefault="00224DF1" w:rsidP="00B90D18">
            <w:pPr>
              <w:rPr>
                <w:rFonts w:eastAsia="Calibri"/>
              </w:rPr>
            </w:pPr>
            <w:r w:rsidRPr="00175EB6">
              <w:rPr>
                <w:rFonts w:eastAsia="Calibri"/>
              </w:rPr>
              <w:t>Märjamaa Vallavalitsus</w:t>
            </w:r>
          </w:p>
        </w:tc>
      </w:tr>
      <w:tr w:rsidR="00224DF1" w:rsidRPr="00214B12" w14:paraId="3D9CCC6E" w14:textId="77777777" w:rsidTr="00B90D18">
        <w:tc>
          <w:tcPr>
            <w:tcW w:w="3794" w:type="dxa"/>
          </w:tcPr>
          <w:p w14:paraId="28B7658E" w14:textId="77777777" w:rsidR="00224DF1" w:rsidRPr="00175EB6" w:rsidRDefault="00224DF1" w:rsidP="00B90D18">
            <w:pPr>
              <w:rPr>
                <w:rFonts w:eastAsia="Calibri"/>
                <w:b/>
              </w:rPr>
            </w:pPr>
            <w:r w:rsidRPr="00175EB6">
              <w:rPr>
                <w:rFonts w:eastAsia="Calibri"/>
                <w:b/>
              </w:rPr>
              <w:t>Eelnõu ja seletuskirja koostaja(d):</w:t>
            </w:r>
          </w:p>
        </w:tc>
        <w:tc>
          <w:tcPr>
            <w:tcW w:w="5418" w:type="dxa"/>
          </w:tcPr>
          <w:p w14:paraId="1EBFC2B1" w14:textId="2A38E812" w:rsidR="00224DF1" w:rsidRPr="00175EB6" w:rsidRDefault="00464BE6" w:rsidP="00B90D18">
            <w:pPr>
              <w:rPr>
                <w:rFonts w:eastAsia="Calibri"/>
              </w:rPr>
            </w:pPr>
            <w:r w:rsidRPr="00175EB6">
              <w:rPr>
                <w:rFonts w:eastAsia="Calibri"/>
              </w:rPr>
              <w:t>Gerli Kangur</w:t>
            </w:r>
          </w:p>
        </w:tc>
      </w:tr>
      <w:tr w:rsidR="00224DF1" w:rsidRPr="00214B12" w14:paraId="02ACED91" w14:textId="77777777" w:rsidTr="00B90D18">
        <w:tc>
          <w:tcPr>
            <w:tcW w:w="3794" w:type="dxa"/>
          </w:tcPr>
          <w:p w14:paraId="435B606B" w14:textId="77777777" w:rsidR="00224DF1" w:rsidRPr="00175EB6" w:rsidRDefault="00224DF1" w:rsidP="00B90D18">
            <w:pPr>
              <w:rPr>
                <w:rFonts w:eastAsia="Calibri"/>
                <w:b/>
              </w:rPr>
            </w:pPr>
            <w:r w:rsidRPr="00175EB6">
              <w:rPr>
                <w:rFonts w:eastAsia="Calibri"/>
                <w:b/>
              </w:rPr>
              <w:t xml:space="preserve">Komisjonid (s.h osavallakogu), kellele eelnõu suunata arutamiseks: </w:t>
            </w:r>
          </w:p>
        </w:tc>
        <w:tc>
          <w:tcPr>
            <w:tcW w:w="5418" w:type="dxa"/>
          </w:tcPr>
          <w:p w14:paraId="238EB526" w14:textId="77777777" w:rsidR="00224DF1" w:rsidRPr="00175EB6" w:rsidRDefault="00224DF1" w:rsidP="00B90D18">
            <w:pPr>
              <w:rPr>
                <w:rFonts w:eastAsia="Calibri"/>
              </w:rPr>
            </w:pPr>
            <w:r w:rsidRPr="00175EB6">
              <w:rPr>
                <w:rFonts w:eastAsia="Calibri"/>
              </w:rPr>
              <w:t>Majanduskomisjon</w:t>
            </w:r>
          </w:p>
          <w:p w14:paraId="34C84933" w14:textId="77777777" w:rsidR="00224DF1" w:rsidRPr="00175EB6" w:rsidRDefault="00224DF1" w:rsidP="00B90D18">
            <w:pPr>
              <w:rPr>
                <w:rFonts w:eastAsia="Calibri"/>
              </w:rPr>
            </w:pPr>
          </w:p>
        </w:tc>
      </w:tr>
      <w:tr w:rsidR="00224DF1" w:rsidRPr="00214B12" w14:paraId="7CEAA86E" w14:textId="77777777" w:rsidTr="00B90D18">
        <w:tc>
          <w:tcPr>
            <w:tcW w:w="3794" w:type="dxa"/>
          </w:tcPr>
          <w:p w14:paraId="3F228474" w14:textId="77777777" w:rsidR="00224DF1" w:rsidRPr="00175EB6" w:rsidRDefault="00224DF1" w:rsidP="00B90D18">
            <w:pPr>
              <w:rPr>
                <w:rFonts w:eastAsia="Calibri"/>
                <w:i/>
              </w:rPr>
            </w:pPr>
            <w:r w:rsidRPr="00175EB6">
              <w:rPr>
                <w:rFonts w:eastAsia="Calibri"/>
                <w:b/>
              </w:rPr>
              <w:t>Huvirühmade kaasamine ja avalik konsultatsioon:</w:t>
            </w:r>
          </w:p>
        </w:tc>
        <w:tc>
          <w:tcPr>
            <w:tcW w:w="5418" w:type="dxa"/>
          </w:tcPr>
          <w:p w14:paraId="2A403980" w14:textId="5427A69A" w:rsidR="00224DF1" w:rsidRPr="00175EB6" w:rsidRDefault="00224DF1" w:rsidP="00B90D18">
            <w:pPr>
              <w:rPr>
                <w:rFonts w:eastAsia="Calibri"/>
              </w:rPr>
            </w:pPr>
          </w:p>
        </w:tc>
      </w:tr>
      <w:tr w:rsidR="00224DF1" w:rsidRPr="00214B12" w14:paraId="353B5D99" w14:textId="77777777" w:rsidTr="00B90D18">
        <w:tc>
          <w:tcPr>
            <w:tcW w:w="3794" w:type="dxa"/>
          </w:tcPr>
          <w:p w14:paraId="514C885C" w14:textId="77777777" w:rsidR="00224DF1" w:rsidRPr="00175EB6" w:rsidRDefault="00224DF1" w:rsidP="00B90D18">
            <w:pPr>
              <w:rPr>
                <w:rFonts w:eastAsia="Calibri"/>
                <w:b/>
              </w:rPr>
            </w:pPr>
            <w:r w:rsidRPr="00175EB6">
              <w:rPr>
                <w:rFonts w:eastAsia="Calibri"/>
                <w:b/>
              </w:rPr>
              <w:t>Eelnõu ettekandja istungil:</w:t>
            </w:r>
          </w:p>
        </w:tc>
        <w:tc>
          <w:tcPr>
            <w:tcW w:w="5418" w:type="dxa"/>
          </w:tcPr>
          <w:p w14:paraId="001809C4" w14:textId="0712AB3B" w:rsidR="00224DF1" w:rsidRPr="00175EB6" w:rsidRDefault="009A4832" w:rsidP="00B90D18">
            <w:pPr>
              <w:rPr>
                <w:rFonts w:eastAsia="Calibri"/>
              </w:rPr>
            </w:pPr>
            <w:r w:rsidRPr="00175EB6">
              <w:rPr>
                <w:rFonts w:eastAsia="Calibri"/>
              </w:rPr>
              <w:t>Gerli Kangur</w:t>
            </w:r>
          </w:p>
        </w:tc>
      </w:tr>
      <w:tr w:rsidR="00224DF1" w:rsidRPr="00214B12" w14:paraId="2FD7CA7B" w14:textId="77777777" w:rsidTr="00B90D18">
        <w:tc>
          <w:tcPr>
            <w:tcW w:w="3794" w:type="dxa"/>
          </w:tcPr>
          <w:p w14:paraId="418295AB" w14:textId="77777777" w:rsidR="00224DF1" w:rsidRPr="00175EB6" w:rsidRDefault="00224DF1" w:rsidP="00B90D18">
            <w:pPr>
              <w:rPr>
                <w:rFonts w:eastAsia="Calibri"/>
                <w:b/>
              </w:rPr>
            </w:pPr>
            <w:r w:rsidRPr="00175EB6">
              <w:rPr>
                <w:rFonts w:eastAsia="Calibri"/>
                <w:b/>
              </w:rPr>
              <w:t xml:space="preserve">Õigusakti vastuvõtmiseks vajalik häälteenamus: </w:t>
            </w:r>
          </w:p>
        </w:tc>
        <w:tc>
          <w:tcPr>
            <w:tcW w:w="5418" w:type="dxa"/>
          </w:tcPr>
          <w:p w14:paraId="49B4957D" w14:textId="77777777" w:rsidR="00224DF1" w:rsidRPr="00175EB6" w:rsidRDefault="00224DF1" w:rsidP="00B90D18">
            <w:pPr>
              <w:rPr>
                <w:rFonts w:eastAsia="Calibri"/>
              </w:rPr>
            </w:pPr>
            <w:r w:rsidRPr="00175EB6">
              <w:rPr>
                <w:rFonts w:eastAsia="Calibri"/>
              </w:rPr>
              <w:t>poolthäälteenamus</w:t>
            </w:r>
          </w:p>
        </w:tc>
      </w:tr>
      <w:tr w:rsidR="00224DF1" w:rsidRPr="00214B12" w14:paraId="7D026198" w14:textId="77777777" w:rsidTr="00B90D18">
        <w:tc>
          <w:tcPr>
            <w:tcW w:w="3794" w:type="dxa"/>
          </w:tcPr>
          <w:p w14:paraId="047FA402" w14:textId="77777777" w:rsidR="00224DF1" w:rsidRPr="00175EB6" w:rsidRDefault="00224DF1" w:rsidP="00B90D18">
            <w:pPr>
              <w:rPr>
                <w:rFonts w:eastAsia="Calibri"/>
                <w:b/>
              </w:rPr>
            </w:pPr>
            <w:r w:rsidRPr="00175EB6">
              <w:rPr>
                <w:rFonts w:eastAsia="Calibri"/>
                <w:b/>
              </w:rPr>
              <w:t>Isikud, keda kutsuda eelnõu menetluse ajaks volikogu istungile:</w:t>
            </w:r>
          </w:p>
        </w:tc>
        <w:tc>
          <w:tcPr>
            <w:tcW w:w="5418" w:type="dxa"/>
          </w:tcPr>
          <w:p w14:paraId="2FC3939B" w14:textId="77777777" w:rsidR="00224DF1" w:rsidRPr="00175EB6" w:rsidRDefault="00224DF1" w:rsidP="00B90D18">
            <w:pPr>
              <w:rPr>
                <w:rFonts w:eastAsia="Calibri"/>
              </w:rPr>
            </w:pPr>
          </w:p>
        </w:tc>
      </w:tr>
      <w:tr w:rsidR="00224DF1" w:rsidRPr="00214B12" w14:paraId="1B1D5E12" w14:textId="77777777" w:rsidTr="00B90D18">
        <w:tc>
          <w:tcPr>
            <w:tcW w:w="3794" w:type="dxa"/>
          </w:tcPr>
          <w:p w14:paraId="5F66FE93" w14:textId="77777777" w:rsidR="00224DF1" w:rsidRPr="00175EB6" w:rsidRDefault="00224DF1" w:rsidP="00B90D18">
            <w:pPr>
              <w:rPr>
                <w:rFonts w:eastAsia="Calibri"/>
                <w:b/>
              </w:rPr>
            </w:pPr>
            <w:r w:rsidRPr="00175EB6">
              <w:rPr>
                <w:rFonts w:eastAsia="Calibri"/>
                <w:b/>
              </w:rPr>
              <w:t xml:space="preserve">Isikud, kellele saata õigusakti ärakiri: </w:t>
            </w:r>
          </w:p>
        </w:tc>
        <w:tc>
          <w:tcPr>
            <w:tcW w:w="5418" w:type="dxa"/>
          </w:tcPr>
          <w:p w14:paraId="0D413F12" w14:textId="7854D38E" w:rsidR="00224DF1" w:rsidRPr="00175EB6" w:rsidRDefault="0019308B" w:rsidP="00B90D18">
            <w:pPr>
              <w:rPr>
                <w:rFonts w:eastAsia="Calibri"/>
              </w:rPr>
            </w:pPr>
            <w:r>
              <w:rPr>
                <w:rFonts w:eastAsia="Calibri"/>
              </w:rPr>
              <w:t>Kinnistu omanikud</w:t>
            </w:r>
          </w:p>
        </w:tc>
      </w:tr>
    </w:tbl>
    <w:p w14:paraId="50AEABC9" w14:textId="77777777" w:rsidR="00224DF1" w:rsidRPr="00367494" w:rsidRDefault="00224DF1" w:rsidP="00224DF1">
      <w:pPr>
        <w:ind w:left="720"/>
        <w:contextualSpacing/>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24DF1" w:rsidRPr="00367494" w14:paraId="3BDAD1A8" w14:textId="77777777" w:rsidTr="00B90D18">
        <w:tc>
          <w:tcPr>
            <w:tcW w:w="9212" w:type="dxa"/>
          </w:tcPr>
          <w:p w14:paraId="5801104A" w14:textId="77777777" w:rsidR="00224DF1" w:rsidRPr="00367494" w:rsidRDefault="00224DF1" w:rsidP="00224DF1">
            <w:pPr>
              <w:numPr>
                <w:ilvl w:val="0"/>
                <w:numId w:val="1"/>
              </w:numPr>
              <w:suppressAutoHyphens w:val="0"/>
              <w:ind w:left="720"/>
              <w:contextualSpacing/>
              <w:rPr>
                <w:rFonts w:eastAsia="Calibri"/>
                <w:i/>
              </w:rPr>
            </w:pPr>
            <w:r w:rsidRPr="00367494">
              <w:rPr>
                <w:rFonts w:eastAsia="Calibri"/>
                <w:b/>
              </w:rPr>
              <w:t xml:space="preserve">Eelnõu õiguslik alus </w:t>
            </w:r>
          </w:p>
        </w:tc>
      </w:tr>
      <w:tr w:rsidR="00224DF1" w:rsidRPr="00367494" w14:paraId="224708EC" w14:textId="77777777" w:rsidTr="00B90D18">
        <w:trPr>
          <w:trHeight w:val="665"/>
        </w:trPr>
        <w:tc>
          <w:tcPr>
            <w:tcW w:w="9212" w:type="dxa"/>
          </w:tcPr>
          <w:p w14:paraId="7E101E93" w14:textId="1E4A5194" w:rsidR="0019308B" w:rsidRPr="0019308B" w:rsidRDefault="0019308B" w:rsidP="0019308B">
            <w:pPr>
              <w:pStyle w:val="Pealkiri3"/>
              <w:shd w:val="clear" w:color="auto" w:fill="FFFFFF"/>
              <w:rPr>
                <w:rFonts w:eastAsia="Calibri"/>
                <w:b w:val="0"/>
                <w:sz w:val="24"/>
                <w:szCs w:val="24"/>
              </w:rPr>
            </w:pPr>
            <w:r w:rsidRPr="0019308B">
              <w:rPr>
                <w:rFonts w:eastAsia="Calibri"/>
                <w:b w:val="0"/>
                <w:sz w:val="24"/>
                <w:szCs w:val="24"/>
              </w:rPr>
              <w:t>Kohaliku omavalitsuse korralduse seaduse § 22 lõike 1 punkt 33 kohaselt kuulub detailplaneeringu kehtetuks tunnistamine volikogu ainupädevusse.</w:t>
            </w:r>
          </w:p>
          <w:p w14:paraId="4B71EB22" w14:textId="77777777" w:rsidR="0019308B" w:rsidRPr="0019308B" w:rsidRDefault="0019308B" w:rsidP="0019308B">
            <w:pPr>
              <w:pStyle w:val="Pealkiri3"/>
              <w:shd w:val="clear" w:color="auto" w:fill="FFFFFF"/>
              <w:rPr>
                <w:rFonts w:eastAsia="Calibri"/>
                <w:b w:val="0"/>
                <w:sz w:val="24"/>
                <w:szCs w:val="24"/>
              </w:rPr>
            </w:pPr>
            <w:r w:rsidRPr="0019308B">
              <w:rPr>
                <w:rFonts w:eastAsia="Calibri"/>
                <w:b w:val="0"/>
                <w:sz w:val="24"/>
                <w:szCs w:val="24"/>
              </w:rPr>
              <w:t>Planeerimisseaduse § 140 lõike 2 alusel võib kehtestatud detailplaneeringu osaliselt kehtetuks tunnistada, kui on tagatud planeeringu terviklahenduse elluviimine pärast osalist kehtetuks tunnistamist. Sama paragrahvi lõiked 3 ja 4 sätestavad otsuse eelnõu kooskõlastamise ja arvamuse andmise korra ning vaikimisi kooskõlastamise põhimõtte.</w:t>
            </w:r>
          </w:p>
          <w:p w14:paraId="6C564965" w14:textId="77777777" w:rsidR="0019308B" w:rsidRPr="0019308B" w:rsidRDefault="0019308B" w:rsidP="0019308B">
            <w:pPr>
              <w:pStyle w:val="Pealkiri3"/>
              <w:shd w:val="clear" w:color="auto" w:fill="FFFFFF"/>
              <w:rPr>
                <w:rFonts w:eastAsia="Calibri"/>
                <w:b w:val="0"/>
                <w:sz w:val="24"/>
                <w:szCs w:val="24"/>
              </w:rPr>
            </w:pPr>
          </w:p>
          <w:p w14:paraId="5B7F74DE" w14:textId="64013B3C" w:rsidR="0019308B" w:rsidRPr="0019308B" w:rsidRDefault="0019308B" w:rsidP="0019308B">
            <w:pPr>
              <w:pStyle w:val="Pealkiri3"/>
              <w:shd w:val="clear" w:color="auto" w:fill="FFFFFF"/>
              <w:rPr>
                <w:rFonts w:eastAsia="Calibri"/>
                <w:b w:val="0"/>
                <w:sz w:val="24"/>
                <w:szCs w:val="24"/>
              </w:rPr>
            </w:pPr>
            <w:r w:rsidRPr="0019308B">
              <w:rPr>
                <w:rFonts w:eastAsia="Calibri"/>
                <w:b w:val="0"/>
                <w:sz w:val="24"/>
                <w:szCs w:val="24"/>
              </w:rPr>
              <w:lastRenderedPageBreak/>
              <w:t>Planeerimisseaduse § 127 lõigete 1 ja 2 kohaselt tuleb otsuse eelnõu edastada kooskõlastamiseks asutustele, kelle pädevusse planeeringu elluviimine võib kuuluda, ning arvamuse andmiseks isikutele, kelle õigusi või huve detailplaneering võib puudutada.</w:t>
            </w:r>
          </w:p>
          <w:p w14:paraId="4F4CA41B" w14:textId="298164B5" w:rsidR="0019308B" w:rsidRPr="0019308B" w:rsidRDefault="0019308B" w:rsidP="0019308B">
            <w:pPr>
              <w:pStyle w:val="Pealkiri3"/>
              <w:shd w:val="clear" w:color="auto" w:fill="FFFFFF"/>
              <w:rPr>
                <w:rFonts w:eastAsia="Calibri"/>
                <w:b w:val="0"/>
                <w:sz w:val="24"/>
                <w:szCs w:val="24"/>
              </w:rPr>
            </w:pPr>
            <w:r w:rsidRPr="0019308B">
              <w:rPr>
                <w:rFonts w:eastAsia="Calibri"/>
                <w:b w:val="0"/>
                <w:sz w:val="24"/>
                <w:szCs w:val="24"/>
              </w:rPr>
              <w:t>Planeerimisseaduse § 124 lõike 2 kohaselt on detailplaneeringu eesmärk üldplaneeringu elluviimine ja planeeringualale ruumilise terviklahenduse loomine. Kuna kehtiva detailplaneeringu osaline kehtetuks tunnistamine ei takista ülejäänud alal detailplaneeringu lahenduse elluviimist, vastab see seadusest tulenevatele nõuetele.</w:t>
            </w:r>
          </w:p>
          <w:p w14:paraId="221532B5" w14:textId="29471ABF" w:rsidR="00224DF1" w:rsidRPr="00367494" w:rsidRDefault="0019308B" w:rsidP="0019308B">
            <w:pPr>
              <w:rPr>
                <w:rFonts w:eastAsia="Calibri"/>
              </w:rPr>
            </w:pPr>
            <w:r w:rsidRPr="0019308B">
              <w:rPr>
                <w:rFonts w:eastAsia="Calibri"/>
                <w:szCs w:val="24"/>
              </w:rPr>
              <w:t xml:space="preserve">Haldusmenetluse seaduse § 5 lõike 2 kohaselt tuleb menetlust läbi viia eesmärgipäraselt, säästlikult ja võimalikult vähe koormaval viisil. </w:t>
            </w:r>
            <w:r>
              <w:rPr>
                <w:rFonts w:eastAsia="Calibri"/>
                <w:szCs w:val="24"/>
              </w:rPr>
              <w:t>Antud</w:t>
            </w:r>
            <w:r w:rsidRPr="0019308B">
              <w:rPr>
                <w:rFonts w:eastAsia="Calibri"/>
                <w:szCs w:val="24"/>
              </w:rPr>
              <w:t xml:space="preserve"> juhul on otstarbekam kasutada täpsustavaid projekteerimistingimusi, mis võimaldavad planeeringu lahendust ellu viia</w:t>
            </w:r>
          </w:p>
        </w:tc>
      </w:tr>
    </w:tbl>
    <w:p w14:paraId="1A2DFDEF" w14:textId="77777777" w:rsidR="00224DF1" w:rsidRPr="00214B12" w:rsidRDefault="00224DF1" w:rsidP="00224DF1">
      <w:pPr>
        <w:shd w:val="clear" w:color="auto" w:fill="FFFFFF"/>
        <w:rPr>
          <w:color w:val="000000"/>
          <w:highlight w:val="yello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224DF1" w:rsidRPr="00214B12" w14:paraId="75882562" w14:textId="77777777" w:rsidTr="00B90D18">
        <w:tc>
          <w:tcPr>
            <w:tcW w:w="9246" w:type="dxa"/>
          </w:tcPr>
          <w:p w14:paraId="71737624" w14:textId="77777777" w:rsidR="00224DF1" w:rsidRPr="00367494" w:rsidRDefault="00224DF1" w:rsidP="00224DF1">
            <w:pPr>
              <w:numPr>
                <w:ilvl w:val="0"/>
                <w:numId w:val="1"/>
              </w:numPr>
              <w:suppressAutoHyphens w:val="0"/>
              <w:ind w:left="720"/>
              <w:contextualSpacing/>
              <w:rPr>
                <w:rFonts w:eastAsia="Calibri"/>
                <w:b/>
                <w:sz w:val="22"/>
              </w:rPr>
            </w:pPr>
            <w:r w:rsidRPr="00367494">
              <w:rPr>
                <w:rFonts w:eastAsia="Calibri"/>
                <w:b/>
                <w:sz w:val="22"/>
              </w:rPr>
              <w:t>Eelnõu vastuvõtmise vajalikkuse põhjendus</w:t>
            </w:r>
          </w:p>
        </w:tc>
      </w:tr>
      <w:tr w:rsidR="00224DF1" w:rsidRPr="00214B12" w14:paraId="20B54558" w14:textId="77777777" w:rsidTr="00B90D18">
        <w:tc>
          <w:tcPr>
            <w:tcW w:w="9246" w:type="dxa"/>
          </w:tcPr>
          <w:p w14:paraId="37F3D814" w14:textId="1E7B01E1" w:rsidR="00224DF1" w:rsidRPr="00214B12" w:rsidRDefault="0019308B" w:rsidP="00B90D18">
            <w:pPr>
              <w:shd w:val="clear" w:color="auto" w:fill="FFFFFF"/>
              <w:rPr>
                <w:sz w:val="22"/>
                <w:highlight w:val="yellow"/>
              </w:rPr>
            </w:pPr>
            <w:r w:rsidRPr="0019308B">
              <w:t>Tallinn–Pärnu–Ikla riigimaantee arendamise ja ristmike ümberkorraldamise vajadused ei ole kooskõlas kehtiva detailplaneeringu krundijaotuse ja tänavate</w:t>
            </w:r>
            <w:r>
              <w:t xml:space="preserve"> </w:t>
            </w:r>
            <w:r w:rsidRPr="0019308B">
              <w:t>võrguga. See takistab riiklikult oluliste taristuprojektide elluviimist ning avaliku huvi eesmärkide saavutamist. Planeeringu osaline kehtetuks tunnistamine on vajalik, et vabastada riigimaantee koridori ja teenindusrajatiste kavandamiseks vajalik maa-ala ning tagada taristu edasine areng.</w:t>
            </w:r>
            <w:r w:rsidRPr="0019308B">
              <w:t xml:space="preserve"> </w:t>
            </w:r>
          </w:p>
        </w:tc>
      </w:tr>
    </w:tbl>
    <w:p w14:paraId="6531FEC8" w14:textId="77777777" w:rsidR="00224DF1" w:rsidRPr="00214B12" w:rsidRDefault="00224DF1" w:rsidP="00224DF1">
      <w:pPr>
        <w:rPr>
          <w:rFonts w:eastAsia="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24DF1" w:rsidRPr="00214B12" w14:paraId="3888B94B" w14:textId="77777777" w:rsidTr="00B90D18">
        <w:tc>
          <w:tcPr>
            <w:tcW w:w="9212" w:type="dxa"/>
          </w:tcPr>
          <w:p w14:paraId="4A08393D" w14:textId="77777777" w:rsidR="00224DF1" w:rsidRPr="00B467D2" w:rsidRDefault="00224DF1" w:rsidP="00224DF1">
            <w:pPr>
              <w:numPr>
                <w:ilvl w:val="0"/>
                <w:numId w:val="1"/>
              </w:numPr>
              <w:suppressAutoHyphens w:val="0"/>
              <w:ind w:left="720"/>
              <w:contextualSpacing/>
              <w:rPr>
                <w:rFonts w:eastAsia="Calibri"/>
                <w:b/>
              </w:rPr>
            </w:pPr>
            <w:r w:rsidRPr="00B467D2">
              <w:rPr>
                <w:rFonts w:eastAsia="Calibri"/>
                <w:b/>
              </w:rPr>
              <w:t>Õigusaktid, mis reguleerivad küsimust käesoleval ajal</w:t>
            </w:r>
          </w:p>
        </w:tc>
      </w:tr>
      <w:tr w:rsidR="00224DF1" w:rsidRPr="00214B12" w14:paraId="71320A09" w14:textId="77777777" w:rsidTr="00B90D18">
        <w:tc>
          <w:tcPr>
            <w:tcW w:w="9212" w:type="dxa"/>
          </w:tcPr>
          <w:p w14:paraId="70394DCE" w14:textId="77777777" w:rsidR="00224DF1" w:rsidRPr="00B467D2" w:rsidRDefault="00224DF1" w:rsidP="00B90D18">
            <w:pPr>
              <w:rPr>
                <w:rFonts w:eastAsia="Calibri"/>
              </w:rPr>
            </w:pPr>
            <w:r w:rsidRPr="00B467D2">
              <w:rPr>
                <w:rFonts w:eastAsia="Calibri"/>
              </w:rPr>
              <w:t>Planeerimisseaduse</w:t>
            </w:r>
          </w:p>
          <w:p w14:paraId="616AD6B0" w14:textId="26AE422A" w:rsidR="00224DF1" w:rsidRPr="00B467D2" w:rsidRDefault="0074563A" w:rsidP="00B90D18">
            <w:pPr>
              <w:rPr>
                <w:rFonts w:eastAsia="Calibri"/>
              </w:rPr>
            </w:pPr>
            <w:r w:rsidRPr="00B467D2">
              <w:rPr>
                <w:rFonts w:eastAsia="Calibri"/>
              </w:rPr>
              <w:t>K</w:t>
            </w:r>
            <w:r w:rsidR="00224DF1" w:rsidRPr="00B467D2">
              <w:rPr>
                <w:rFonts w:eastAsia="Calibri"/>
              </w:rPr>
              <w:t>eskkonnamõju hindamise ja keskkonnajuhtimissüsteemi seadus</w:t>
            </w:r>
          </w:p>
          <w:p w14:paraId="5ABB0BB5" w14:textId="5B3772B1" w:rsidR="00224DF1" w:rsidRDefault="0074563A" w:rsidP="00B90D18">
            <w:pPr>
              <w:rPr>
                <w:rFonts w:eastAsia="Calibri"/>
              </w:rPr>
            </w:pPr>
            <w:r w:rsidRPr="00B467D2">
              <w:rPr>
                <w:rFonts w:eastAsia="Calibri"/>
              </w:rPr>
              <w:t>K</w:t>
            </w:r>
            <w:r w:rsidR="00224DF1" w:rsidRPr="00B467D2">
              <w:rPr>
                <w:rFonts w:eastAsia="Calibri"/>
              </w:rPr>
              <w:t>ohaliku omavalitsuse korralduse seadus</w:t>
            </w:r>
          </w:p>
          <w:p w14:paraId="17BAE9C8" w14:textId="2F6F3021" w:rsidR="0019308B" w:rsidRPr="00B467D2" w:rsidRDefault="0019308B" w:rsidP="00B90D18">
            <w:pPr>
              <w:rPr>
                <w:rFonts w:eastAsia="Calibri"/>
              </w:rPr>
            </w:pPr>
            <w:r w:rsidRPr="0019308B">
              <w:rPr>
                <w:rFonts w:eastAsia="Calibri"/>
              </w:rPr>
              <w:t>Haldusmenetluse seadus</w:t>
            </w:r>
          </w:p>
          <w:p w14:paraId="54BCFC90" w14:textId="77777777" w:rsidR="00224DF1" w:rsidRPr="00B467D2" w:rsidRDefault="00224DF1" w:rsidP="00B90D18">
            <w:pPr>
              <w:rPr>
                <w:rFonts w:eastAsia="Calibri"/>
              </w:rPr>
            </w:pPr>
          </w:p>
        </w:tc>
      </w:tr>
    </w:tbl>
    <w:p w14:paraId="27B7E06D" w14:textId="77777777" w:rsidR="00224DF1" w:rsidRPr="00214B12" w:rsidRDefault="00224DF1" w:rsidP="00224DF1">
      <w:pPr>
        <w:rPr>
          <w:rFonts w:eastAsia="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24DF1" w:rsidRPr="00214B12" w14:paraId="54F2C117" w14:textId="77777777" w:rsidTr="00B90D18">
        <w:tc>
          <w:tcPr>
            <w:tcW w:w="9212" w:type="dxa"/>
          </w:tcPr>
          <w:p w14:paraId="54297177" w14:textId="77777777" w:rsidR="00224DF1" w:rsidRPr="00B467D2" w:rsidRDefault="00224DF1" w:rsidP="00224DF1">
            <w:pPr>
              <w:pStyle w:val="Loendilik"/>
              <w:numPr>
                <w:ilvl w:val="0"/>
                <w:numId w:val="1"/>
              </w:numPr>
              <w:suppressAutoHyphens w:val="0"/>
              <w:ind w:left="720"/>
              <w:rPr>
                <w:rFonts w:eastAsia="Calibri"/>
                <w:b/>
              </w:rPr>
            </w:pPr>
            <w:r w:rsidRPr="00B467D2">
              <w:rPr>
                <w:rFonts w:eastAsia="Calibri"/>
                <w:b/>
              </w:rPr>
              <w:t>Õigusaktid, mida on eelnõu õigusaktina vastuvõtmisel vaja tunnistada kehtetuks, tühistada või muuta</w:t>
            </w:r>
          </w:p>
        </w:tc>
      </w:tr>
      <w:tr w:rsidR="00224DF1" w:rsidRPr="00214B12" w14:paraId="451F37AE" w14:textId="77777777" w:rsidTr="00B90D18">
        <w:tc>
          <w:tcPr>
            <w:tcW w:w="9212" w:type="dxa"/>
          </w:tcPr>
          <w:p w14:paraId="7FE6678B" w14:textId="42A02729" w:rsidR="00224DF1" w:rsidRPr="00B467D2" w:rsidRDefault="00B0635B" w:rsidP="00B90D18">
            <w:pPr>
              <w:rPr>
                <w:rFonts w:eastAsia="Calibri"/>
              </w:rPr>
            </w:pPr>
            <w:r>
              <w:rPr>
                <w:rFonts w:eastAsia="Calibri"/>
              </w:rPr>
              <w:t>Eelnõu</w:t>
            </w:r>
            <w:r w:rsidRPr="00B0635B">
              <w:rPr>
                <w:rFonts w:eastAsia="Calibri"/>
              </w:rPr>
              <w:t xml:space="preserve"> vastuvõtmisel tunnistatakse osaliselt kehtetuks Märjamaa Vallavolikogu 15.04.2015 otsus nr 52, millega kehtestati Orgita ettevõtluskompleksi detailplaneering.</w:t>
            </w:r>
          </w:p>
        </w:tc>
      </w:tr>
    </w:tbl>
    <w:p w14:paraId="59A7F589" w14:textId="77777777" w:rsidR="00224DF1" w:rsidRPr="00214B12" w:rsidRDefault="00224DF1" w:rsidP="00224DF1">
      <w:pPr>
        <w:rPr>
          <w:rFonts w:eastAsia="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24DF1" w:rsidRPr="00214B12" w14:paraId="1D30CC67" w14:textId="77777777" w:rsidTr="00B90D18">
        <w:tc>
          <w:tcPr>
            <w:tcW w:w="9212" w:type="dxa"/>
          </w:tcPr>
          <w:p w14:paraId="1B83751E" w14:textId="77777777" w:rsidR="00224DF1" w:rsidRPr="00175EB6" w:rsidRDefault="00224DF1" w:rsidP="00224DF1">
            <w:pPr>
              <w:pStyle w:val="Loendilik"/>
              <w:numPr>
                <w:ilvl w:val="0"/>
                <w:numId w:val="1"/>
              </w:numPr>
              <w:suppressAutoHyphens w:val="0"/>
              <w:ind w:left="720"/>
              <w:rPr>
                <w:rFonts w:eastAsia="Calibri"/>
              </w:rPr>
            </w:pPr>
            <w:r w:rsidRPr="00175EB6">
              <w:rPr>
                <w:rFonts w:eastAsia="Calibri"/>
                <w:b/>
              </w:rPr>
              <w:t xml:space="preserve">Õigusakti rakendamisega kaasnevad kulud ja katteallikad </w:t>
            </w:r>
          </w:p>
        </w:tc>
      </w:tr>
      <w:tr w:rsidR="00224DF1" w:rsidRPr="00214B12" w14:paraId="49FD6ABB" w14:textId="77777777" w:rsidTr="00175EB6">
        <w:trPr>
          <w:trHeight w:val="123"/>
        </w:trPr>
        <w:tc>
          <w:tcPr>
            <w:tcW w:w="9212" w:type="dxa"/>
          </w:tcPr>
          <w:p w14:paraId="741E5059" w14:textId="4C86D7D8" w:rsidR="00224DF1" w:rsidRPr="00175EB6" w:rsidRDefault="00B0635B" w:rsidP="00B90D18">
            <w:pPr>
              <w:rPr>
                <w:rFonts w:eastAsia="Calibri"/>
              </w:rPr>
            </w:pPr>
            <w:r>
              <w:rPr>
                <w:rFonts w:eastAsia="Calibri"/>
              </w:rPr>
              <w:t>Kaasnevad kulud puuduvad.</w:t>
            </w:r>
          </w:p>
        </w:tc>
      </w:tr>
    </w:tbl>
    <w:p w14:paraId="19F46047" w14:textId="77777777" w:rsidR="00224DF1" w:rsidRPr="00214B12" w:rsidRDefault="00224DF1" w:rsidP="00224DF1">
      <w:pPr>
        <w:rPr>
          <w:rFonts w:eastAsia="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24DF1" w:rsidRPr="00214B12" w14:paraId="561E3985" w14:textId="77777777" w:rsidTr="00B90D18">
        <w:tc>
          <w:tcPr>
            <w:tcW w:w="9212" w:type="dxa"/>
          </w:tcPr>
          <w:p w14:paraId="4F1E3D30" w14:textId="77777777" w:rsidR="00224DF1" w:rsidRPr="00B1334D" w:rsidRDefault="00224DF1" w:rsidP="00224DF1">
            <w:pPr>
              <w:pStyle w:val="Loendilik"/>
              <w:numPr>
                <w:ilvl w:val="0"/>
                <w:numId w:val="1"/>
              </w:numPr>
              <w:suppressAutoHyphens w:val="0"/>
              <w:ind w:left="720"/>
              <w:rPr>
                <w:rFonts w:eastAsia="Calibri"/>
                <w:b/>
              </w:rPr>
            </w:pPr>
            <w:r w:rsidRPr="00B1334D">
              <w:rPr>
                <w:rFonts w:eastAsia="Calibri"/>
                <w:b/>
              </w:rPr>
              <w:t xml:space="preserve">Eelnõule lisatavad muud asjasse puutuvad materjalid </w:t>
            </w:r>
          </w:p>
        </w:tc>
      </w:tr>
      <w:tr w:rsidR="00224DF1" w:rsidRPr="00214B12" w14:paraId="6EFEA72E" w14:textId="77777777" w:rsidTr="00B90D18">
        <w:trPr>
          <w:trHeight w:val="687"/>
        </w:trPr>
        <w:tc>
          <w:tcPr>
            <w:tcW w:w="9212" w:type="dxa"/>
          </w:tcPr>
          <w:p w14:paraId="4B5DF7F7" w14:textId="4BFC5B2B" w:rsidR="00224DF1" w:rsidRPr="00B1334D" w:rsidRDefault="00224DF1" w:rsidP="00B0635B">
            <w:pPr>
              <w:suppressAutoHyphens w:val="0"/>
              <w:ind w:left="720"/>
              <w:jc w:val="left"/>
              <w:rPr>
                <w:rFonts w:eastAsia="Calibri"/>
              </w:rPr>
            </w:pPr>
          </w:p>
        </w:tc>
      </w:tr>
    </w:tbl>
    <w:p w14:paraId="3A60717E" w14:textId="77777777" w:rsidR="00224DF1" w:rsidRPr="00214B12" w:rsidRDefault="00224DF1" w:rsidP="00224DF1">
      <w:pPr>
        <w:rPr>
          <w:rFonts w:eastAsia="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224DF1" w:rsidRPr="00175EB6" w14:paraId="339C12BD" w14:textId="77777777" w:rsidTr="00B90D18">
        <w:tc>
          <w:tcPr>
            <w:tcW w:w="4389" w:type="dxa"/>
          </w:tcPr>
          <w:p w14:paraId="20EECA43" w14:textId="77777777" w:rsidR="00224DF1" w:rsidRPr="00175EB6" w:rsidRDefault="00224DF1" w:rsidP="00B90D18">
            <w:pPr>
              <w:contextualSpacing/>
              <w:rPr>
                <w:rFonts w:eastAsia="Calibri"/>
                <w:b/>
              </w:rPr>
            </w:pPr>
            <w:r w:rsidRPr="00175EB6">
              <w:rPr>
                <w:rFonts w:eastAsia="Calibri"/>
                <w:b/>
              </w:rPr>
              <w:t>Eelnõu esitamise kuupäev</w:t>
            </w:r>
          </w:p>
        </w:tc>
        <w:tc>
          <w:tcPr>
            <w:tcW w:w="4390" w:type="dxa"/>
          </w:tcPr>
          <w:p w14:paraId="03D23DDE" w14:textId="188179C0" w:rsidR="00224DF1" w:rsidRPr="00175EB6" w:rsidRDefault="00B0635B" w:rsidP="00B90D18">
            <w:pPr>
              <w:contextualSpacing/>
              <w:rPr>
                <w:rFonts w:eastAsia="Calibri"/>
                <w:b/>
              </w:rPr>
            </w:pPr>
            <w:r>
              <w:rPr>
                <w:rFonts w:eastAsia="Calibri"/>
                <w:b/>
              </w:rPr>
              <w:t>..</w:t>
            </w:r>
          </w:p>
        </w:tc>
      </w:tr>
    </w:tbl>
    <w:p w14:paraId="0587B322" w14:textId="77777777" w:rsidR="00224DF1" w:rsidRPr="00175EB6" w:rsidRDefault="00224DF1" w:rsidP="00224DF1">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949"/>
        <w:gridCol w:w="3524"/>
      </w:tblGrid>
      <w:tr w:rsidR="00224DF1" w:rsidRPr="00175EB6" w14:paraId="770C26B6" w14:textId="77777777" w:rsidTr="00224DF1">
        <w:tc>
          <w:tcPr>
            <w:tcW w:w="2736" w:type="dxa"/>
          </w:tcPr>
          <w:p w14:paraId="41EFC3FE" w14:textId="77777777" w:rsidR="00224DF1" w:rsidRPr="00175EB6" w:rsidRDefault="00224DF1" w:rsidP="00B90D18">
            <w:pPr>
              <w:rPr>
                <w:rFonts w:eastAsia="Calibri"/>
                <w:b/>
              </w:rPr>
            </w:pPr>
            <w:r w:rsidRPr="00175EB6">
              <w:rPr>
                <w:rFonts w:eastAsia="Calibri"/>
                <w:b/>
              </w:rPr>
              <w:t xml:space="preserve">Eelnõu </w:t>
            </w:r>
            <w:proofErr w:type="spellStart"/>
            <w:r w:rsidRPr="00175EB6">
              <w:rPr>
                <w:rFonts w:eastAsia="Calibri"/>
                <w:b/>
              </w:rPr>
              <w:t>kooskõlastaja</w:t>
            </w:r>
            <w:proofErr w:type="spellEnd"/>
            <w:r w:rsidRPr="00175EB6">
              <w:rPr>
                <w:rFonts w:eastAsia="Calibri"/>
                <w:b/>
              </w:rPr>
              <w:t>/arvamuse andja:</w:t>
            </w:r>
          </w:p>
        </w:tc>
        <w:tc>
          <w:tcPr>
            <w:tcW w:w="2949" w:type="dxa"/>
          </w:tcPr>
          <w:p w14:paraId="4F7DB2FA" w14:textId="77777777" w:rsidR="00224DF1" w:rsidRPr="00175EB6" w:rsidRDefault="00224DF1" w:rsidP="00B90D18">
            <w:pPr>
              <w:rPr>
                <w:rFonts w:eastAsia="Calibri"/>
                <w:b/>
              </w:rPr>
            </w:pPr>
            <w:r w:rsidRPr="00175EB6">
              <w:rPr>
                <w:rFonts w:eastAsia="Calibri"/>
                <w:b/>
              </w:rPr>
              <w:t>Seisukoht ja põhjendus, ettepanekud:</w:t>
            </w:r>
          </w:p>
        </w:tc>
        <w:tc>
          <w:tcPr>
            <w:tcW w:w="3524" w:type="dxa"/>
          </w:tcPr>
          <w:p w14:paraId="2447F198" w14:textId="77777777" w:rsidR="00224DF1" w:rsidRPr="00175EB6" w:rsidRDefault="00224DF1" w:rsidP="00B90D18">
            <w:pPr>
              <w:rPr>
                <w:rFonts w:eastAsia="Calibri"/>
                <w:b/>
              </w:rPr>
            </w:pPr>
            <w:r w:rsidRPr="00175EB6">
              <w:rPr>
                <w:rFonts w:eastAsia="Calibri"/>
                <w:b/>
              </w:rPr>
              <w:t>Kuupäev:</w:t>
            </w:r>
          </w:p>
        </w:tc>
      </w:tr>
      <w:tr w:rsidR="00224DF1" w:rsidRPr="00BB2912" w14:paraId="6B82000F" w14:textId="77777777" w:rsidTr="00224DF1">
        <w:tc>
          <w:tcPr>
            <w:tcW w:w="2736" w:type="dxa"/>
          </w:tcPr>
          <w:p w14:paraId="283613CC" w14:textId="77777777" w:rsidR="00224DF1" w:rsidRPr="00175EB6" w:rsidRDefault="00224DF1" w:rsidP="00B90D18">
            <w:pPr>
              <w:rPr>
                <w:rFonts w:eastAsia="Calibri"/>
              </w:rPr>
            </w:pPr>
            <w:r w:rsidRPr="00175EB6">
              <w:rPr>
                <w:rFonts w:eastAsia="Calibri"/>
              </w:rPr>
              <w:t>Majanduskomisjon</w:t>
            </w:r>
          </w:p>
        </w:tc>
        <w:tc>
          <w:tcPr>
            <w:tcW w:w="2949" w:type="dxa"/>
          </w:tcPr>
          <w:p w14:paraId="148C2606" w14:textId="5D3D62BE" w:rsidR="00224DF1" w:rsidRPr="00175EB6" w:rsidRDefault="00224DF1" w:rsidP="00B90D18">
            <w:pPr>
              <w:rPr>
                <w:rFonts w:eastAsia="Calibri"/>
              </w:rPr>
            </w:pPr>
          </w:p>
        </w:tc>
        <w:tc>
          <w:tcPr>
            <w:tcW w:w="3524" w:type="dxa"/>
          </w:tcPr>
          <w:p w14:paraId="5F9B7FC8" w14:textId="70F7607C" w:rsidR="00224DF1" w:rsidRPr="00BB2912" w:rsidRDefault="00B0635B" w:rsidP="00B90D18">
            <w:pPr>
              <w:rPr>
                <w:rFonts w:eastAsia="Calibri"/>
              </w:rPr>
            </w:pPr>
            <w:r>
              <w:rPr>
                <w:rFonts w:eastAsia="Calibri"/>
              </w:rPr>
              <w:t>…</w:t>
            </w:r>
          </w:p>
        </w:tc>
      </w:tr>
    </w:tbl>
    <w:p w14:paraId="75492892" w14:textId="77777777" w:rsidR="00224DF1" w:rsidRPr="00BB2912" w:rsidRDefault="00224DF1" w:rsidP="00224DF1">
      <w:pPr>
        <w:rPr>
          <w:rFonts w:eastAsia="Calibri"/>
        </w:rPr>
      </w:pPr>
    </w:p>
    <w:p w14:paraId="12A66340" w14:textId="77777777" w:rsidR="00224DF1" w:rsidRPr="00BB2912" w:rsidRDefault="00224DF1" w:rsidP="00224DF1"/>
    <w:p w14:paraId="143A4B9F" w14:textId="77777777" w:rsidR="00224DF1" w:rsidRDefault="00224DF1" w:rsidP="00224DF1"/>
    <w:p w14:paraId="1B73BD2C" w14:textId="77777777" w:rsidR="00224DF1" w:rsidRDefault="00224DF1" w:rsidP="00224DF1"/>
    <w:p w14:paraId="773CA55F" w14:textId="77777777" w:rsidR="00224DF1" w:rsidRPr="00C275AB" w:rsidRDefault="00224DF1" w:rsidP="00C275AB"/>
    <w:sectPr w:rsidR="00224DF1" w:rsidRPr="00C275AB" w:rsidSect="00B25EFE">
      <w:headerReference w:type="first" r:id="rId8"/>
      <w:pgSz w:w="11906" w:h="16838"/>
      <w:pgMar w:top="426" w:right="851" w:bottom="709" w:left="1701"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2C4A5" w14:textId="77777777" w:rsidR="00543786" w:rsidRDefault="00543786" w:rsidP="0072786B">
      <w:r>
        <w:separator/>
      </w:r>
    </w:p>
  </w:endnote>
  <w:endnote w:type="continuationSeparator" w:id="0">
    <w:p w14:paraId="14D997EB" w14:textId="77777777" w:rsidR="00543786" w:rsidRDefault="00543786" w:rsidP="0072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7">
    <w:altName w:val="MS Gothic"/>
    <w:charset w:val="80"/>
    <w:family w:val="roman"/>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C2986" w14:textId="77777777" w:rsidR="00543786" w:rsidRDefault="00543786" w:rsidP="0072786B">
      <w:r>
        <w:separator/>
      </w:r>
    </w:p>
  </w:footnote>
  <w:footnote w:type="continuationSeparator" w:id="0">
    <w:p w14:paraId="20539177" w14:textId="77777777" w:rsidR="00543786" w:rsidRDefault="00543786" w:rsidP="00727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BAFA" w14:textId="77777777" w:rsidR="00143413" w:rsidRPr="00E656A8" w:rsidRDefault="00143413" w:rsidP="00E656A8">
    <w:pPr>
      <w:pStyle w:val="Pis"/>
      <w:tabs>
        <w:tab w:val="clear" w:pos="9072"/>
        <w:tab w:val="right" w:pos="87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7934"/>
    <w:multiLevelType w:val="multilevel"/>
    <w:tmpl w:val="065A2B9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F025AD"/>
    <w:multiLevelType w:val="hybridMultilevel"/>
    <w:tmpl w:val="F75ABEB4"/>
    <w:lvl w:ilvl="0" w:tplc="99E80526">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 w15:restartNumberingAfterBreak="0">
    <w:nsid w:val="16B25E97"/>
    <w:multiLevelType w:val="multilevel"/>
    <w:tmpl w:val="3118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21BE6"/>
    <w:multiLevelType w:val="hybridMultilevel"/>
    <w:tmpl w:val="D61EB6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759624F"/>
    <w:multiLevelType w:val="multilevel"/>
    <w:tmpl w:val="5BC8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33D7A"/>
    <w:multiLevelType w:val="hybridMultilevel"/>
    <w:tmpl w:val="7FB6FA80"/>
    <w:lvl w:ilvl="0" w:tplc="A1D4DB90">
      <w:start w:val="1"/>
      <w:numFmt w:val="decimal"/>
      <w:lvlText w:val="%1."/>
      <w:lvlJc w:val="left"/>
      <w:pPr>
        <w:ind w:left="720" w:hanging="360"/>
      </w:pPr>
      <w:rPr>
        <w:b w:val="0"/>
        <w:bCs/>
      </w:rPr>
    </w:lvl>
    <w:lvl w:ilvl="1" w:tplc="0425000F">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FB05236"/>
    <w:multiLevelType w:val="hybridMultilevel"/>
    <w:tmpl w:val="D3C24320"/>
    <w:lvl w:ilvl="0" w:tplc="756400BE">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7" w15:restartNumberingAfterBreak="0">
    <w:nsid w:val="27A50E3E"/>
    <w:multiLevelType w:val="hybridMultilevel"/>
    <w:tmpl w:val="CD886C24"/>
    <w:lvl w:ilvl="0" w:tplc="FFFFFFFF">
      <w:start w:val="1"/>
      <w:numFmt w:val="decimal"/>
      <w:lvlText w:val="%1."/>
      <w:lvlJc w:val="left"/>
      <w:pPr>
        <w:ind w:left="720" w:hanging="360"/>
      </w:pPr>
    </w:lvl>
    <w:lvl w:ilvl="1" w:tplc="ED42AC8E">
      <w:start w:val="2"/>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146067"/>
    <w:multiLevelType w:val="multilevel"/>
    <w:tmpl w:val="0FDC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EB02AF"/>
    <w:multiLevelType w:val="hybridMultilevel"/>
    <w:tmpl w:val="C5E20B4E"/>
    <w:lvl w:ilvl="0" w:tplc="F940AC8C">
      <w:start w:val="1"/>
      <w:numFmt w:val="decimal"/>
      <w:lvlText w:val="%1."/>
      <w:lvlJc w:val="left"/>
      <w:pPr>
        <w:ind w:left="501" w:hanging="360"/>
      </w:pPr>
      <w:rPr>
        <w:rFonts w:hint="default"/>
        <w:b/>
        <w:bCs/>
        <w:i w:val="0"/>
        <w:iCs/>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10" w15:restartNumberingAfterBreak="0">
    <w:nsid w:val="375C0CA4"/>
    <w:multiLevelType w:val="multilevel"/>
    <w:tmpl w:val="042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93D0ED1"/>
    <w:multiLevelType w:val="multilevel"/>
    <w:tmpl w:val="24E85D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210280C"/>
    <w:multiLevelType w:val="hybridMultilevel"/>
    <w:tmpl w:val="72C2EF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5477503"/>
    <w:multiLevelType w:val="hybridMultilevel"/>
    <w:tmpl w:val="CF28BAE4"/>
    <w:lvl w:ilvl="0" w:tplc="DB4EF00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88A0BBA"/>
    <w:multiLevelType w:val="hybridMultilevel"/>
    <w:tmpl w:val="E23A615C"/>
    <w:lvl w:ilvl="0" w:tplc="0425000F">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AF25B46"/>
    <w:multiLevelType w:val="multilevel"/>
    <w:tmpl w:val="A3AA5A3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3F41E5F"/>
    <w:multiLevelType w:val="hybridMultilevel"/>
    <w:tmpl w:val="90CC8EC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765F73DF"/>
    <w:multiLevelType w:val="multilevel"/>
    <w:tmpl w:val="11E6E9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C709B2"/>
    <w:multiLevelType w:val="hybridMultilevel"/>
    <w:tmpl w:val="E0E0AFFC"/>
    <w:lvl w:ilvl="0" w:tplc="3708BB16">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9" w15:restartNumberingAfterBreak="0">
    <w:nsid w:val="7C325570"/>
    <w:multiLevelType w:val="hybridMultilevel"/>
    <w:tmpl w:val="8BB640EA"/>
    <w:lvl w:ilvl="0" w:tplc="A6D84E84">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82780670">
    <w:abstractNumId w:val="9"/>
  </w:num>
  <w:num w:numId="2" w16cid:durableId="484317490">
    <w:abstractNumId w:val="14"/>
  </w:num>
  <w:num w:numId="3" w16cid:durableId="465322407">
    <w:abstractNumId w:val="3"/>
  </w:num>
  <w:num w:numId="4" w16cid:durableId="1699237915">
    <w:abstractNumId w:val="6"/>
  </w:num>
  <w:num w:numId="5" w16cid:durableId="1049959523">
    <w:abstractNumId w:val="13"/>
  </w:num>
  <w:num w:numId="6" w16cid:durableId="1454403766">
    <w:abstractNumId w:val="19"/>
  </w:num>
  <w:num w:numId="7" w16cid:durableId="1624386347">
    <w:abstractNumId w:val="0"/>
  </w:num>
  <w:num w:numId="8" w16cid:durableId="1140031262">
    <w:abstractNumId w:val="16"/>
  </w:num>
  <w:num w:numId="9" w16cid:durableId="1704332072">
    <w:abstractNumId w:val="5"/>
  </w:num>
  <w:num w:numId="10" w16cid:durableId="20594257">
    <w:abstractNumId w:val="7"/>
  </w:num>
  <w:num w:numId="11" w16cid:durableId="221673859">
    <w:abstractNumId w:val="17"/>
  </w:num>
  <w:num w:numId="12" w16cid:durableId="2106226121">
    <w:abstractNumId w:val="15"/>
  </w:num>
  <w:num w:numId="13" w16cid:durableId="621691692">
    <w:abstractNumId w:val="11"/>
  </w:num>
  <w:num w:numId="14" w16cid:durableId="1270745936">
    <w:abstractNumId w:val="18"/>
  </w:num>
  <w:num w:numId="15" w16cid:durableId="1862815249">
    <w:abstractNumId w:val="10"/>
  </w:num>
  <w:num w:numId="16" w16cid:durableId="300502506">
    <w:abstractNumId w:val="12"/>
  </w:num>
  <w:num w:numId="17" w16cid:durableId="1603799909">
    <w:abstractNumId w:val="1"/>
  </w:num>
  <w:num w:numId="18" w16cid:durableId="163083969">
    <w:abstractNumId w:val="2"/>
  </w:num>
  <w:num w:numId="19" w16cid:durableId="436949745">
    <w:abstractNumId w:val="4"/>
  </w:num>
  <w:num w:numId="20" w16cid:durableId="1637838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84"/>
    <w:rsid w:val="00002A77"/>
    <w:rsid w:val="00016750"/>
    <w:rsid w:val="00050C25"/>
    <w:rsid w:val="0006193E"/>
    <w:rsid w:val="00067E86"/>
    <w:rsid w:val="00070783"/>
    <w:rsid w:val="00070861"/>
    <w:rsid w:val="00072671"/>
    <w:rsid w:val="000B492E"/>
    <w:rsid w:val="000C033F"/>
    <w:rsid w:val="000C06CA"/>
    <w:rsid w:val="000E689D"/>
    <w:rsid w:val="000F203B"/>
    <w:rsid w:val="000F69B0"/>
    <w:rsid w:val="001020F5"/>
    <w:rsid w:val="0010503D"/>
    <w:rsid w:val="001103D9"/>
    <w:rsid w:val="00110862"/>
    <w:rsid w:val="00123256"/>
    <w:rsid w:val="00126F8A"/>
    <w:rsid w:val="00135B14"/>
    <w:rsid w:val="00137139"/>
    <w:rsid w:val="00143413"/>
    <w:rsid w:val="00144699"/>
    <w:rsid w:val="00151EAD"/>
    <w:rsid w:val="001532DF"/>
    <w:rsid w:val="001721A2"/>
    <w:rsid w:val="00175EB6"/>
    <w:rsid w:val="001761A4"/>
    <w:rsid w:val="00177962"/>
    <w:rsid w:val="0019308B"/>
    <w:rsid w:val="00196229"/>
    <w:rsid w:val="001B5652"/>
    <w:rsid w:val="001B6387"/>
    <w:rsid w:val="001B672F"/>
    <w:rsid w:val="001C4A2D"/>
    <w:rsid w:val="001C6317"/>
    <w:rsid w:val="001C662D"/>
    <w:rsid w:val="001D556C"/>
    <w:rsid w:val="001F5892"/>
    <w:rsid w:val="00211C0F"/>
    <w:rsid w:val="00214B12"/>
    <w:rsid w:val="00220783"/>
    <w:rsid w:val="002240D0"/>
    <w:rsid w:val="00224557"/>
    <w:rsid w:val="00224DF1"/>
    <w:rsid w:val="00226407"/>
    <w:rsid w:val="00231FB3"/>
    <w:rsid w:val="0025509F"/>
    <w:rsid w:val="0026019A"/>
    <w:rsid w:val="00262034"/>
    <w:rsid w:val="00265392"/>
    <w:rsid w:val="002705DA"/>
    <w:rsid w:val="00273F69"/>
    <w:rsid w:val="00290547"/>
    <w:rsid w:val="0029327A"/>
    <w:rsid w:val="002A15B1"/>
    <w:rsid w:val="002A41B3"/>
    <w:rsid w:val="002B7E03"/>
    <w:rsid w:val="002E23D9"/>
    <w:rsid w:val="002F1B37"/>
    <w:rsid w:val="00321585"/>
    <w:rsid w:val="00323C01"/>
    <w:rsid w:val="00325CFF"/>
    <w:rsid w:val="00327EE2"/>
    <w:rsid w:val="0033335F"/>
    <w:rsid w:val="003371C6"/>
    <w:rsid w:val="00341F8E"/>
    <w:rsid w:val="00347FF9"/>
    <w:rsid w:val="003503C0"/>
    <w:rsid w:val="00364C9A"/>
    <w:rsid w:val="00367494"/>
    <w:rsid w:val="0037427C"/>
    <w:rsid w:val="00374E1B"/>
    <w:rsid w:val="00382898"/>
    <w:rsid w:val="0038605A"/>
    <w:rsid w:val="003A1929"/>
    <w:rsid w:val="003A4829"/>
    <w:rsid w:val="003C2B9F"/>
    <w:rsid w:val="003C5DBB"/>
    <w:rsid w:val="003E5877"/>
    <w:rsid w:val="00400A02"/>
    <w:rsid w:val="00403494"/>
    <w:rsid w:val="004046EB"/>
    <w:rsid w:val="00405CAA"/>
    <w:rsid w:val="00415B92"/>
    <w:rsid w:val="0044069F"/>
    <w:rsid w:val="00464BE6"/>
    <w:rsid w:val="00470572"/>
    <w:rsid w:val="00472DB9"/>
    <w:rsid w:val="004A57F4"/>
    <w:rsid w:val="004C3410"/>
    <w:rsid w:val="004C4CDB"/>
    <w:rsid w:val="004F4170"/>
    <w:rsid w:val="004F52C4"/>
    <w:rsid w:val="0050285E"/>
    <w:rsid w:val="00503D03"/>
    <w:rsid w:val="005174EB"/>
    <w:rsid w:val="005263AD"/>
    <w:rsid w:val="00535B30"/>
    <w:rsid w:val="00540263"/>
    <w:rsid w:val="00543786"/>
    <w:rsid w:val="00553644"/>
    <w:rsid w:val="00557997"/>
    <w:rsid w:val="00563F06"/>
    <w:rsid w:val="005654E0"/>
    <w:rsid w:val="005774BC"/>
    <w:rsid w:val="005802E4"/>
    <w:rsid w:val="00581757"/>
    <w:rsid w:val="005A347B"/>
    <w:rsid w:val="005A5F48"/>
    <w:rsid w:val="005B0A4D"/>
    <w:rsid w:val="005B3C78"/>
    <w:rsid w:val="005B48FC"/>
    <w:rsid w:val="005C786B"/>
    <w:rsid w:val="00602116"/>
    <w:rsid w:val="0061141C"/>
    <w:rsid w:val="006140D0"/>
    <w:rsid w:val="006307F7"/>
    <w:rsid w:val="006325CE"/>
    <w:rsid w:val="00642047"/>
    <w:rsid w:val="00642746"/>
    <w:rsid w:val="006559D9"/>
    <w:rsid w:val="006616B9"/>
    <w:rsid w:val="00662B08"/>
    <w:rsid w:val="00662D3A"/>
    <w:rsid w:val="00665BD8"/>
    <w:rsid w:val="0066794B"/>
    <w:rsid w:val="00667C14"/>
    <w:rsid w:val="0068186B"/>
    <w:rsid w:val="00682BB1"/>
    <w:rsid w:val="00691B51"/>
    <w:rsid w:val="00691E96"/>
    <w:rsid w:val="006A010A"/>
    <w:rsid w:val="006A0134"/>
    <w:rsid w:val="006A64BA"/>
    <w:rsid w:val="006D55A6"/>
    <w:rsid w:val="006D5B9B"/>
    <w:rsid w:val="006D6E1F"/>
    <w:rsid w:val="006F172C"/>
    <w:rsid w:val="00702A8E"/>
    <w:rsid w:val="00712664"/>
    <w:rsid w:val="00714152"/>
    <w:rsid w:val="00716DA2"/>
    <w:rsid w:val="007204F2"/>
    <w:rsid w:val="00721CDF"/>
    <w:rsid w:val="0072786B"/>
    <w:rsid w:val="00733206"/>
    <w:rsid w:val="0074563A"/>
    <w:rsid w:val="00756470"/>
    <w:rsid w:val="00757ECE"/>
    <w:rsid w:val="00763CCE"/>
    <w:rsid w:val="007C055A"/>
    <w:rsid w:val="007C1901"/>
    <w:rsid w:val="007C6CC3"/>
    <w:rsid w:val="007D6B56"/>
    <w:rsid w:val="007D782A"/>
    <w:rsid w:val="0080718D"/>
    <w:rsid w:val="00832C02"/>
    <w:rsid w:val="00850FC9"/>
    <w:rsid w:val="00855909"/>
    <w:rsid w:val="00863910"/>
    <w:rsid w:val="00875A3B"/>
    <w:rsid w:val="00875AB4"/>
    <w:rsid w:val="00891AF9"/>
    <w:rsid w:val="008A5B5D"/>
    <w:rsid w:val="008B2DB6"/>
    <w:rsid w:val="008C3FEE"/>
    <w:rsid w:val="008D0291"/>
    <w:rsid w:val="008E1CD7"/>
    <w:rsid w:val="009068AF"/>
    <w:rsid w:val="00911392"/>
    <w:rsid w:val="009116ED"/>
    <w:rsid w:val="00925E48"/>
    <w:rsid w:val="009312D8"/>
    <w:rsid w:val="00933AC5"/>
    <w:rsid w:val="00952D2F"/>
    <w:rsid w:val="009575B2"/>
    <w:rsid w:val="009635AB"/>
    <w:rsid w:val="0096661D"/>
    <w:rsid w:val="00980873"/>
    <w:rsid w:val="0098404D"/>
    <w:rsid w:val="00995F9D"/>
    <w:rsid w:val="009A0F51"/>
    <w:rsid w:val="009A4832"/>
    <w:rsid w:val="009C4647"/>
    <w:rsid w:val="009C74DA"/>
    <w:rsid w:val="009D6B11"/>
    <w:rsid w:val="009E09F4"/>
    <w:rsid w:val="009E4DD7"/>
    <w:rsid w:val="009E53F5"/>
    <w:rsid w:val="00A033A3"/>
    <w:rsid w:val="00A130D4"/>
    <w:rsid w:val="00A168AB"/>
    <w:rsid w:val="00A50BDD"/>
    <w:rsid w:val="00A55768"/>
    <w:rsid w:val="00A56FF6"/>
    <w:rsid w:val="00A62BEB"/>
    <w:rsid w:val="00A718EE"/>
    <w:rsid w:val="00A918C5"/>
    <w:rsid w:val="00A96A37"/>
    <w:rsid w:val="00AA0770"/>
    <w:rsid w:val="00AB0348"/>
    <w:rsid w:val="00AB26AA"/>
    <w:rsid w:val="00AB48B7"/>
    <w:rsid w:val="00AD69B2"/>
    <w:rsid w:val="00AD6CB1"/>
    <w:rsid w:val="00AD7C36"/>
    <w:rsid w:val="00AE2D8C"/>
    <w:rsid w:val="00AF5960"/>
    <w:rsid w:val="00B0519C"/>
    <w:rsid w:val="00B0635B"/>
    <w:rsid w:val="00B1115C"/>
    <w:rsid w:val="00B11ABB"/>
    <w:rsid w:val="00B1334D"/>
    <w:rsid w:val="00B22D39"/>
    <w:rsid w:val="00B235D0"/>
    <w:rsid w:val="00B25EFE"/>
    <w:rsid w:val="00B2679A"/>
    <w:rsid w:val="00B37856"/>
    <w:rsid w:val="00B467D2"/>
    <w:rsid w:val="00B607B0"/>
    <w:rsid w:val="00B65DFA"/>
    <w:rsid w:val="00B67E65"/>
    <w:rsid w:val="00B771B2"/>
    <w:rsid w:val="00B81849"/>
    <w:rsid w:val="00B8244B"/>
    <w:rsid w:val="00BA04F7"/>
    <w:rsid w:val="00BA709A"/>
    <w:rsid w:val="00BB03C5"/>
    <w:rsid w:val="00C1495C"/>
    <w:rsid w:val="00C16CB6"/>
    <w:rsid w:val="00C21CB2"/>
    <w:rsid w:val="00C22131"/>
    <w:rsid w:val="00C275AB"/>
    <w:rsid w:val="00C2787B"/>
    <w:rsid w:val="00C34723"/>
    <w:rsid w:val="00C4440E"/>
    <w:rsid w:val="00C47AE8"/>
    <w:rsid w:val="00C53433"/>
    <w:rsid w:val="00C56193"/>
    <w:rsid w:val="00C8113C"/>
    <w:rsid w:val="00C863C7"/>
    <w:rsid w:val="00C94F87"/>
    <w:rsid w:val="00CB1659"/>
    <w:rsid w:val="00CC1319"/>
    <w:rsid w:val="00CC214D"/>
    <w:rsid w:val="00CF6E4F"/>
    <w:rsid w:val="00D17953"/>
    <w:rsid w:val="00D22684"/>
    <w:rsid w:val="00D2644B"/>
    <w:rsid w:val="00D374BE"/>
    <w:rsid w:val="00D40677"/>
    <w:rsid w:val="00D47866"/>
    <w:rsid w:val="00D50354"/>
    <w:rsid w:val="00D53B54"/>
    <w:rsid w:val="00D661E6"/>
    <w:rsid w:val="00D800E2"/>
    <w:rsid w:val="00D87309"/>
    <w:rsid w:val="00D9477B"/>
    <w:rsid w:val="00D97BDD"/>
    <w:rsid w:val="00DA46A5"/>
    <w:rsid w:val="00DB7F33"/>
    <w:rsid w:val="00DC6A47"/>
    <w:rsid w:val="00DE2E8C"/>
    <w:rsid w:val="00DF69BE"/>
    <w:rsid w:val="00E05DE6"/>
    <w:rsid w:val="00E107D4"/>
    <w:rsid w:val="00E17304"/>
    <w:rsid w:val="00E33029"/>
    <w:rsid w:val="00E52A97"/>
    <w:rsid w:val="00E54B95"/>
    <w:rsid w:val="00E55C74"/>
    <w:rsid w:val="00E67133"/>
    <w:rsid w:val="00E70126"/>
    <w:rsid w:val="00E875BF"/>
    <w:rsid w:val="00EA25CF"/>
    <w:rsid w:val="00EA29AB"/>
    <w:rsid w:val="00EB6A27"/>
    <w:rsid w:val="00EB74FB"/>
    <w:rsid w:val="00EE0CF2"/>
    <w:rsid w:val="00F10233"/>
    <w:rsid w:val="00F5679B"/>
    <w:rsid w:val="00F77310"/>
    <w:rsid w:val="00F81BC2"/>
    <w:rsid w:val="00F82E74"/>
    <w:rsid w:val="00F8406A"/>
    <w:rsid w:val="00F91921"/>
    <w:rsid w:val="00F9459F"/>
    <w:rsid w:val="00FA7A61"/>
    <w:rsid w:val="00FD3312"/>
    <w:rsid w:val="00FF49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7404"/>
  <w15:chartTrackingRefBased/>
  <w15:docId w15:val="{4793A70D-8BCB-4D98-BA2B-4D6D0726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2786B"/>
    <w:pPr>
      <w:suppressAutoHyphens/>
      <w:spacing w:after="0" w:line="240" w:lineRule="auto"/>
      <w:jc w:val="both"/>
    </w:pPr>
    <w:rPr>
      <w:rFonts w:ascii="Times New Roman" w:eastAsia="SimSun" w:hAnsi="Times New Roman" w:cs="font297"/>
      <w:sz w:val="24"/>
      <w:lang w:eastAsia="ar-SA"/>
    </w:rPr>
  </w:style>
  <w:style w:type="paragraph" w:styleId="Pealkiri3">
    <w:name w:val="heading 3"/>
    <w:basedOn w:val="Normaallaad"/>
    <w:link w:val="Pealkiri3Mrk"/>
    <w:uiPriority w:val="9"/>
    <w:qFormat/>
    <w:rsid w:val="00224DF1"/>
    <w:pPr>
      <w:suppressAutoHyphens w:val="0"/>
      <w:spacing w:before="100" w:beforeAutospacing="1" w:after="100" w:afterAutospacing="1"/>
      <w:jc w:val="left"/>
      <w:outlineLvl w:val="2"/>
    </w:pPr>
    <w:rPr>
      <w:rFonts w:eastAsia="Times New Roman" w:cs="Times New Roman"/>
      <w:b/>
      <w:bCs/>
      <w:sz w:val="27"/>
      <w:szCs w:val="27"/>
      <w:lang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72786B"/>
    <w:pPr>
      <w:tabs>
        <w:tab w:val="center" w:pos="4536"/>
        <w:tab w:val="right" w:pos="9072"/>
      </w:tabs>
    </w:pPr>
  </w:style>
  <w:style w:type="character" w:customStyle="1" w:styleId="PisMrk">
    <w:name w:val="Päis Märk"/>
    <w:basedOn w:val="Liguvaikefont"/>
    <w:link w:val="Pis"/>
    <w:uiPriority w:val="99"/>
    <w:rsid w:val="0072786B"/>
    <w:rPr>
      <w:rFonts w:ascii="Times New Roman" w:eastAsia="SimSun" w:hAnsi="Times New Roman" w:cs="font297"/>
      <w:sz w:val="24"/>
      <w:lang w:eastAsia="ar-SA"/>
    </w:rPr>
  </w:style>
  <w:style w:type="table" w:styleId="Kontuurtabel">
    <w:name w:val="Table Grid"/>
    <w:basedOn w:val="Normaaltabel"/>
    <w:uiPriority w:val="59"/>
    <w:rsid w:val="0072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alus">
    <w:name w:val="footer"/>
    <w:basedOn w:val="Normaallaad"/>
    <w:link w:val="JalusMrk"/>
    <w:uiPriority w:val="99"/>
    <w:unhideWhenUsed/>
    <w:rsid w:val="0072786B"/>
    <w:pPr>
      <w:tabs>
        <w:tab w:val="center" w:pos="4536"/>
        <w:tab w:val="right" w:pos="9072"/>
      </w:tabs>
    </w:pPr>
  </w:style>
  <w:style w:type="character" w:customStyle="1" w:styleId="JalusMrk">
    <w:name w:val="Jalus Märk"/>
    <w:basedOn w:val="Liguvaikefont"/>
    <w:link w:val="Jalus"/>
    <w:uiPriority w:val="99"/>
    <w:rsid w:val="0072786B"/>
    <w:rPr>
      <w:rFonts w:ascii="Times New Roman" w:eastAsia="SimSun" w:hAnsi="Times New Roman" w:cs="font297"/>
      <w:sz w:val="24"/>
      <w:lang w:eastAsia="ar-SA"/>
    </w:rPr>
  </w:style>
  <w:style w:type="paragraph" w:styleId="Loendilik">
    <w:name w:val="List Paragraph"/>
    <w:basedOn w:val="Normaallaad"/>
    <w:uiPriority w:val="34"/>
    <w:qFormat/>
    <w:rsid w:val="00540263"/>
    <w:pPr>
      <w:ind w:left="720"/>
      <w:contextualSpacing/>
    </w:pPr>
  </w:style>
  <w:style w:type="paragraph" w:styleId="Jutumullitekst">
    <w:name w:val="Balloon Text"/>
    <w:basedOn w:val="Normaallaad"/>
    <w:link w:val="JutumullitekstMrk"/>
    <w:uiPriority w:val="99"/>
    <w:semiHidden/>
    <w:unhideWhenUsed/>
    <w:rsid w:val="00E33029"/>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33029"/>
    <w:rPr>
      <w:rFonts w:ascii="Segoe UI" w:eastAsia="SimSun" w:hAnsi="Segoe UI" w:cs="Segoe UI"/>
      <w:sz w:val="18"/>
      <w:szCs w:val="18"/>
      <w:lang w:eastAsia="ar-SA"/>
    </w:rPr>
  </w:style>
  <w:style w:type="character" w:styleId="Hperlink">
    <w:name w:val="Hyperlink"/>
    <w:basedOn w:val="Liguvaikefont"/>
    <w:uiPriority w:val="99"/>
    <w:unhideWhenUsed/>
    <w:rsid w:val="00144699"/>
    <w:rPr>
      <w:color w:val="0563C1" w:themeColor="hyperlink"/>
      <w:u w:val="single"/>
    </w:rPr>
  </w:style>
  <w:style w:type="character" w:customStyle="1" w:styleId="Lahendamatamainimine1">
    <w:name w:val="Lahendamata mainimine1"/>
    <w:basedOn w:val="Liguvaikefont"/>
    <w:uiPriority w:val="99"/>
    <w:semiHidden/>
    <w:unhideWhenUsed/>
    <w:rsid w:val="00D2644B"/>
    <w:rPr>
      <w:color w:val="605E5C"/>
      <w:shd w:val="clear" w:color="auto" w:fill="E1DFDD"/>
    </w:rPr>
  </w:style>
  <w:style w:type="paragraph" w:styleId="Vahedeta">
    <w:name w:val="No Spacing"/>
    <w:uiPriority w:val="1"/>
    <w:qFormat/>
    <w:rsid w:val="00E05DE6"/>
    <w:pPr>
      <w:spacing w:after="0" w:line="240" w:lineRule="auto"/>
    </w:pPr>
    <w:rPr>
      <w:rFonts w:ascii="Times New Roman" w:eastAsia="Times New Roman" w:hAnsi="Times New Roman" w:cs="Times New Roman"/>
      <w:sz w:val="20"/>
      <w:szCs w:val="20"/>
      <w:lang w:eastAsia="et-EE"/>
    </w:rPr>
  </w:style>
  <w:style w:type="character" w:customStyle="1" w:styleId="Pealkiri3Mrk">
    <w:name w:val="Pealkiri 3 Märk"/>
    <w:basedOn w:val="Liguvaikefont"/>
    <w:link w:val="Pealkiri3"/>
    <w:uiPriority w:val="9"/>
    <w:rsid w:val="00224DF1"/>
    <w:rPr>
      <w:rFonts w:ascii="Times New Roman" w:eastAsia="Times New Roman" w:hAnsi="Times New Roman" w:cs="Times New Roman"/>
      <w:b/>
      <w:bCs/>
      <w:sz w:val="27"/>
      <w:szCs w:val="27"/>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68081">
      <w:bodyDiv w:val="1"/>
      <w:marLeft w:val="0"/>
      <w:marRight w:val="0"/>
      <w:marTop w:val="0"/>
      <w:marBottom w:val="0"/>
      <w:divBdr>
        <w:top w:val="none" w:sz="0" w:space="0" w:color="auto"/>
        <w:left w:val="none" w:sz="0" w:space="0" w:color="auto"/>
        <w:bottom w:val="none" w:sz="0" w:space="0" w:color="auto"/>
        <w:right w:val="none" w:sz="0" w:space="0" w:color="auto"/>
      </w:divBdr>
    </w:div>
    <w:div w:id="19453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D62A1-CEF9-4B40-BE33-992D1C78F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1663</Words>
  <Characters>9651</Characters>
  <Application>Microsoft Office Word</Application>
  <DocSecurity>0</DocSecurity>
  <Lines>80</Lines>
  <Paragraphs>22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gerli.kangur@marjamaa.ee</dc:creator>
  <cp:keywords/>
  <dc:description/>
  <cp:lastModifiedBy>Gerli Kangur</cp:lastModifiedBy>
  <cp:revision>6</cp:revision>
  <cp:lastPrinted>2020-11-11T14:54:00Z</cp:lastPrinted>
  <dcterms:created xsi:type="dcterms:W3CDTF">2025-08-13T05:40:00Z</dcterms:created>
  <dcterms:modified xsi:type="dcterms:W3CDTF">2025-08-28T06:26:00Z</dcterms:modified>
</cp:coreProperties>
</file>